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C36556" w14:textId="5D8EAB9E" w:rsidR="00CD4C7B" w:rsidRPr="00B266B0" w:rsidRDefault="003A41EF" w:rsidP="00CD4C7B">
      <w:pPr>
        <w:pStyle w:val="Header"/>
        <w:tabs>
          <w:tab w:val="right" w:pos="9639"/>
        </w:tabs>
        <w:rPr>
          <w:bCs/>
          <w:i/>
          <w:noProof w:val="0"/>
          <w:sz w:val="24"/>
          <w:szCs w:val="24"/>
        </w:rPr>
      </w:pPr>
      <w:r w:rsidRPr="003A41EF">
        <w:rPr>
          <w:bCs/>
          <w:noProof w:val="0"/>
          <w:sz w:val="24"/>
          <w:szCs w:val="24"/>
        </w:rPr>
        <w:t xml:space="preserve">3GPP TSG-RAN WG2 Meeting </w:t>
      </w:r>
      <w:r w:rsidR="00F941DF">
        <w:rPr>
          <w:bCs/>
          <w:noProof w:val="0"/>
          <w:sz w:val="24"/>
          <w:szCs w:val="24"/>
        </w:rPr>
        <w:t>#</w:t>
      </w:r>
      <w:r w:rsidR="007C2DD0">
        <w:rPr>
          <w:bCs/>
          <w:noProof w:val="0"/>
          <w:sz w:val="24"/>
          <w:szCs w:val="24"/>
        </w:rPr>
        <w:t>10</w:t>
      </w:r>
      <w:r w:rsidR="00465587">
        <w:rPr>
          <w:bCs/>
          <w:noProof w:val="0"/>
          <w:sz w:val="24"/>
          <w:szCs w:val="24"/>
        </w:rPr>
        <w:t>5</w:t>
      </w:r>
      <w:r w:rsidR="00CD4C7B" w:rsidRPr="00B266B0">
        <w:rPr>
          <w:bCs/>
          <w:noProof w:val="0"/>
          <w:sz w:val="24"/>
          <w:szCs w:val="24"/>
        </w:rPr>
        <w:tab/>
      </w:r>
      <w:bookmarkStart w:id="0" w:name="_GoBack"/>
      <w:r w:rsidR="00D73461" w:rsidRPr="00D73461">
        <w:rPr>
          <w:bCs/>
          <w:noProof w:val="0"/>
          <w:sz w:val="24"/>
          <w:szCs w:val="24"/>
        </w:rPr>
        <w:t>R2-1900636</w:t>
      </w:r>
      <w:bookmarkEnd w:id="0"/>
    </w:p>
    <w:p w14:paraId="231362B2" w14:textId="33E0DEF8" w:rsidR="00CD4C7B" w:rsidRPr="00465587" w:rsidRDefault="00465587" w:rsidP="00CD4C7B">
      <w:pPr>
        <w:pStyle w:val="Header"/>
        <w:tabs>
          <w:tab w:val="right" w:pos="9639"/>
        </w:tabs>
        <w:rPr>
          <w:rFonts w:eastAsia="SimSun"/>
          <w:bCs/>
          <w:sz w:val="24"/>
          <w:szCs w:val="24"/>
          <w:lang w:eastAsia="zh-CN"/>
        </w:rPr>
      </w:pPr>
      <w:r w:rsidRPr="00465587">
        <w:rPr>
          <w:rFonts w:eastAsia="SimSun"/>
          <w:bCs/>
          <w:sz w:val="24"/>
          <w:szCs w:val="24"/>
          <w:lang w:eastAsia="zh-CN"/>
        </w:rPr>
        <w:t>Athens, Greece, 25 Feb - 01 Mar 2019</w:t>
      </w:r>
      <w:r w:rsidR="00364B41">
        <w:rPr>
          <w:rFonts w:eastAsia="SimSun"/>
          <w:noProof w:val="0"/>
          <w:sz w:val="24"/>
          <w:szCs w:val="24"/>
          <w:lang w:eastAsia="zh-CN"/>
        </w:rPr>
        <w:tab/>
      </w:r>
    </w:p>
    <w:p w14:paraId="39BE00F6" w14:textId="77777777" w:rsidR="00CD4C7B" w:rsidRPr="00B266B0" w:rsidRDefault="00CD4C7B" w:rsidP="00CD4C7B">
      <w:pPr>
        <w:pStyle w:val="Header"/>
        <w:rPr>
          <w:bCs/>
          <w:noProof w:val="0"/>
          <w:sz w:val="24"/>
        </w:rPr>
      </w:pPr>
    </w:p>
    <w:p w14:paraId="49379CFB" w14:textId="77777777" w:rsidR="00CD4C7B" w:rsidRPr="00B266B0" w:rsidRDefault="00CD4C7B" w:rsidP="00CD4C7B">
      <w:pPr>
        <w:pStyle w:val="Header"/>
        <w:rPr>
          <w:bCs/>
          <w:noProof w:val="0"/>
          <w:sz w:val="24"/>
        </w:rPr>
      </w:pPr>
    </w:p>
    <w:p w14:paraId="758E2B30" w14:textId="72EEFCAA" w:rsidR="00CD4C7B" w:rsidRPr="00B266B0" w:rsidRDefault="00CD4C7B" w:rsidP="00CD4C7B">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E62D4F">
        <w:rPr>
          <w:rFonts w:cs="Arial"/>
          <w:b/>
          <w:bCs/>
          <w:sz w:val="24"/>
          <w:lang w:eastAsia="ja-JP"/>
        </w:rPr>
        <w:t>11</w:t>
      </w:r>
      <w:r w:rsidR="002747EC">
        <w:rPr>
          <w:rFonts w:cs="Arial"/>
          <w:b/>
          <w:bCs/>
          <w:sz w:val="24"/>
          <w:lang w:eastAsia="ja-JP"/>
        </w:rPr>
        <w:t>.</w:t>
      </w:r>
      <w:r w:rsidR="00E62D4F">
        <w:rPr>
          <w:rFonts w:cs="Arial"/>
          <w:b/>
          <w:bCs/>
          <w:sz w:val="24"/>
          <w:lang w:eastAsia="ja-JP"/>
        </w:rPr>
        <w:t>7</w:t>
      </w:r>
      <w:r w:rsidR="002747EC">
        <w:rPr>
          <w:rFonts w:cs="Arial"/>
          <w:b/>
          <w:bCs/>
          <w:sz w:val="24"/>
          <w:lang w:eastAsia="ja-JP"/>
        </w:rPr>
        <w:t>.</w:t>
      </w:r>
      <w:r w:rsidR="00E62D4F">
        <w:rPr>
          <w:rFonts w:cs="Arial"/>
          <w:b/>
          <w:bCs/>
          <w:sz w:val="24"/>
          <w:lang w:eastAsia="ja-JP"/>
        </w:rPr>
        <w:t>2.2</w:t>
      </w:r>
    </w:p>
    <w:p w14:paraId="6A1BC0C1" w14:textId="2FF76E31" w:rsidR="00CD4C7B" w:rsidRPr="00B266B0" w:rsidRDefault="00CD4C7B" w:rsidP="00CD4C7B">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1741A0">
        <w:rPr>
          <w:rFonts w:ascii="Arial" w:hAnsi="Arial" w:cs="Arial"/>
          <w:b/>
          <w:bCs/>
          <w:sz w:val="24"/>
        </w:rPr>
        <w:t>Nokia</w:t>
      </w:r>
      <w:r w:rsidR="00090468">
        <w:rPr>
          <w:rFonts w:ascii="Arial" w:hAnsi="Arial" w:cs="Arial"/>
          <w:b/>
          <w:bCs/>
          <w:sz w:val="24"/>
        </w:rPr>
        <w:t xml:space="preserve">, </w:t>
      </w:r>
      <w:r w:rsidR="00325AE3">
        <w:rPr>
          <w:rFonts w:ascii="Arial" w:hAnsi="Arial" w:cs="Arial"/>
          <w:b/>
          <w:bCs/>
          <w:sz w:val="24"/>
        </w:rPr>
        <w:t>Nokia</w:t>
      </w:r>
      <w:r w:rsidR="00090468">
        <w:rPr>
          <w:rFonts w:ascii="Arial" w:hAnsi="Arial" w:cs="Arial"/>
          <w:b/>
          <w:bCs/>
          <w:sz w:val="24"/>
        </w:rPr>
        <w:t xml:space="preserve"> Shanghai Bell</w:t>
      </w:r>
    </w:p>
    <w:p w14:paraId="45BE90BE" w14:textId="7F3F2072" w:rsidR="00CD4C7B" w:rsidRDefault="00CD4C7B" w:rsidP="00CD4C7B">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D73461" w:rsidRPr="00D73461">
        <w:rPr>
          <w:rFonts w:ascii="Arial" w:hAnsi="Arial" w:cs="Arial"/>
          <w:b/>
          <w:bCs/>
          <w:sz w:val="24"/>
        </w:rPr>
        <w:t>Further discussion on QoS and scheduling enhancements for TSN</w:t>
      </w:r>
    </w:p>
    <w:p w14:paraId="3AC3A0B1" w14:textId="4834FD29" w:rsidR="00CD4C7B" w:rsidRPr="00B266B0" w:rsidRDefault="00CD4C7B" w:rsidP="00CD4C7B">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27183A" w:rsidRPr="0027183A">
        <w:rPr>
          <w:rFonts w:ascii="Arial" w:hAnsi="Arial" w:cs="Arial"/>
          <w:b/>
          <w:bCs/>
          <w:sz w:val="24"/>
        </w:rPr>
        <w:t>FS_NR_IIOT - Release 16</w:t>
      </w:r>
    </w:p>
    <w:p w14:paraId="7DF86DB4" w14:textId="77777777" w:rsidR="00CD4C7B" w:rsidRPr="00B266B0" w:rsidRDefault="00CD4C7B" w:rsidP="00CD4C7B">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3E959691" w14:textId="77777777" w:rsidR="00CD4C7B" w:rsidRPr="006E13D1" w:rsidRDefault="00CD4C7B" w:rsidP="00CD4C7B">
      <w:pPr>
        <w:pStyle w:val="Heading1"/>
      </w:pPr>
      <w:r w:rsidRPr="006E13D1">
        <w:t>1</w:t>
      </w:r>
      <w:r w:rsidRPr="006E13D1">
        <w:tab/>
      </w:r>
      <w:r w:rsidR="0056573F">
        <w:t>Introduction</w:t>
      </w:r>
    </w:p>
    <w:p w14:paraId="6AA8571C" w14:textId="6B2F284C" w:rsidR="004953FC" w:rsidRDefault="00D73461" w:rsidP="00D73461">
      <w:r w:rsidRPr="00D73461">
        <w:t>In the summary of [104#36][NR/IIOT]TSN Traffic Patterns</w:t>
      </w:r>
      <w:r>
        <w:t xml:space="preserve"> several issues related to QoS and scheduling impact w</w:t>
      </w:r>
      <w:r w:rsidR="00E62D4F">
        <w:t>ere</w:t>
      </w:r>
      <w:r>
        <w:t xml:space="preserve"> raised. In this contribution, we elaborate further on the topic and propose a </w:t>
      </w:r>
      <w:r w:rsidR="0027183A" w:rsidRPr="0027183A">
        <w:t>Text Proposal for TR 38.825</w:t>
      </w:r>
      <w:r>
        <w:t xml:space="preserve">. </w:t>
      </w:r>
    </w:p>
    <w:p w14:paraId="51C63B63" w14:textId="39D997F1" w:rsidR="0027183A" w:rsidRDefault="0027183A" w:rsidP="00CD4C7B"/>
    <w:p w14:paraId="323E4062" w14:textId="65D96C90" w:rsidR="005542A5" w:rsidRDefault="005542A5" w:rsidP="005542A5">
      <w:pPr>
        <w:pStyle w:val="Heading1"/>
      </w:pPr>
      <w:r>
        <w:t>2</w:t>
      </w:r>
      <w:r>
        <w:tab/>
        <w:t>On the value of SPS for TSN flows</w:t>
      </w:r>
    </w:p>
    <w:p w14:paraId="4C32E334" w14:textId="62429C91" w:rsidR="001B589C" w:rsidRDefault="001B589C" w:rsidP="00076B08">
      <w:r>
        <w:t xml:space="preserve">In this section, some of the potential benefits of using SPS/CG types of allocations for TSN flows compared </w:t>
      </w:r>
      <w:r w:rsidR="08B0AFA8">
        <w:t>to</w:t>
      </w:r>
      <w:r>
        <w:t xml:space="preserve"> using DCI</w:t>
      </w:r>
      <w:r w:rsidR="08B0AFA8">
        <w:t>-</w:t>
      </w:r>
      <w:r>
        <w:t>based dynamic scheduling</w:t>
      </w:r>
      <w:r w:rsidR="08B0AFA8">
        <w:t xml:space="preserve"> are described.</w:t>
      </w:r>
      <w:r>
        <w:t xml:space="preserve"> Even with known traffic patterns, a DCI is still needed </w:t>
      </w:r>
      <w:r w:rsidR="08B0AFA8">
        <w:t xml:space="preserve">to </w:t>
      </w:r>
      <w:r>
        <w:t xml:space="preserve">indicate the radio resources used for the </w:t>
      </w:r>
      <w:r w:rsidR="08B0AFA8">
        <w:t>PDSCH/PUSCH</w:t>
      </w:r>
      <w:r>
        <w:t xml:space="preserve"> allocation and this generates a reliability dependence between the two transmissions. Simple reliability theory can help to provide an idea of this dependency. Figure </w:t>
      </w:r>
      <w:r w:rsidR="00E62D4F">
        <w:t>1</w:t>
      </w:r>
      <w:r>
        <w:t xml:space="preserve"> shows the total outage probability (average failure rate) for a DCI + a data transmission as a function of the control (e.g. DCI) average failure rate. We fix the data transmissions </w:t>
      </w:r>
      <w:r w:rsidR="00076B08">
        <w:t xml:space="preserve">outage probability </w:t>
      </w:r>
      <w:r>
        <w:t>to 10^-6</w:t>
      </w:r>
      <w:r w:rsidR="00E62D4F">
        <w:t xml:space="preserve"> and</w:t>
      </w:r>
      <w:r>
        <w:t xml:space="preserve"> observe that </w:t>
      </w:r>
      <w:r w:rsidR="00076B08">
        <w:t>the outage probability for the control message needs to be significantly smaller (1-2 orders of magnitude) than the data transmission outage probability in order for the total outage probability to reach the target (same as the data) 10^-6.</w:t>
      </w:r>
    </w:p>
    <w:p w14:paraId="341A49C9" w14:textId="77777777" w:rsidR="00CA15EA" w:rsidRDefault="001B589C" w:rsidP="007C18A0">
      <w:pPr>
        <w:pStyle w:val="Caption"/>
        <w:jc w:val="center"/>
      </w:pPr>
      <w:r>
        <w:rPr>
          <w:noProof/>
        </w:rPr>
        <w:drawing>
          <wp:inline distT="0" distB="0" distL="0" distR="0" wp14:anchorId="0EC7B567" wp14:editId="6EF45F48">
            <wp:extent cx="3562350" cy="2670168"/>
            <wp:effectExtent l="0" t="0" r="0" b="0"/>
            <wp:docPr id="1314605578" name="Picture 131460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bwMode="auto">
                    <a:xfrm>
                      <a:off x="0" y="0"/>
                      <a:ext cx="3562350" cy="2670168"/>
                    </a:xfrm>
                    <a:prstGeom prst="rect">
                      <a:avLst/>
                    </a:prstGeom>
                    <a:noFill/>
                    <a:ln>
                      <a:noFill/>
                    </a:ln>
                  </pic:spPr>
                </pic:pic>
              </a:graphicData>
            </a:graphic>
          </wp:inline>
        </w:drawing>
      </w:r>
    </w:p>
    <w:p w14:paraId="190C81D1" w14:textId="7171C187" w:rsidR="00CD4C7B" w:rsidRDefault="001B589C" w:rsidP="007C18A0">
      <w:pPr>
        <w:pStyle w:val="Caption"/>
        <w:jc w:val="center"/>
      </w:pPr>
      <w:r>
        <w:t xml:space="preserve">Figure </w:t>
      </w:r>
      <w:r w:rsidR="00C802DB">
        <w:rPr>
          <w:noProof/>
        </w:rPr>
        <w:fldChar w:fldCharType="begin"/>
      </w:r>
      <w:r w:rsidR="00C802DB">
        <w:rPr>
          <w:noProof/>
        </w:rPr>
        <w:instrText xml:space="preserve"> SEQ Figure \* ARABIC </w:instrText>
      </w:r>
      <w:r w:rsidR="00C802DB">
        <w:rPr>
          <w:noProof/>
        </w:rPr>
        <w:fldChar w:fldCharType="separate"/>
      </w:r>
      <w:r w:rsidR="00262E19">
        <w:rPr>
          <w:noProof/>
        </w:rPr>
        <w:t>1</w:t>
      </w:r>
      <w:r w:rsidR="00C802DB">
        <w:rPr>
          <w:noProof/>
        </w:rPr>
        <w:fldChar w:fldCharType="end"/>
      </w:r>
      <w:r>
        <w:t>. Total outage probability with a control message to trigger a data message</w:t>
      </w:r>
    </w:p>
    <w:p w14:paraId="1F06F5C4" w14:textId="307D4F47" w:rsidR="004953FC" w:rsidRDefault="00076B08" w:rsidP="00076B08">
      <w:r w:rsidRPr="00712AC1">
        <w:rPr>
          <w:b/>
        </w:rPr>
        <w:t xml:space="preserve">Observation </w:t>
      </w:r>
      <w:r w:rsidR="00E62D4F">
        <w:rPr>
          <w:b/>
        </w:rPr>
        <w:t>1</w:t>
      </w:r>
      <w:r w:rsidRPr="00712AC1">
        <w:rPr>
          <w:b/>
        </w:rPr>
        <w:t xml:space="preserve">: </w:t>
      </w:r>
      <w:r w:rsidRPr="007C18A0">
        <w:rPr>
          <w:b/>
        </w:rPr>
        <w:t xml:space="preserve">PDCCH reliability needs to be 1-2 orders of magnitude larger than the </w:t>
      </w:r>
      <w:r w:rsidR="00E62D4F">
        <w:rPr>
          <w:b/>
        </w:rPr>
        <w:t xml:space="preserve">data </w:t>
      </w:r>
      <w:r w:rsidRPr="007C18A0">
        <w:rPr>
          <w:b/>
        </w:rPr>
        <w:t>reliability target.</w:t>
      </w:r>
    </w:p>
    <w:p w14:paraId="0AD90B0C" w14:textId="277B964A" w:rsidR="00076B08" w:rsidRPr="00076B08" w:rsidRDefault="00076B08" w:rsidP="00076B08"/>
    <w:p w14:paraId="1DD8F60E" w14:textId="4B4164FB" w:rsidR="00076B08" w:rsidRDefault="00076B08" w:rsidP="00076B08">
      <w:r>
        <w:t>Secondly</w:t>
      </w:r>
      <w:r w:rsidR="08B0AFA8">
        <w:t>,</w:t>
      </w:r>
      <w:r>
        <w:t xml:space="preserve"> we evaluate the overhead of PDCCH with DCI transmissions as a function of the chosen aggregation level. </w:t>
      </w:r>
      <w:r w:rsidR="00E26382">
        <w:t xml:space="preserve">Figure </w:t>
      </w:r>
      <w:r w:rsidR="00E62D4F">
        <w:t>2</w:t>
      </w:r>
      <w:r w:rsidR="00E26382">
        <w:t xml:space="preserve"> shows the DCI overhead per data transmission depending on the chosen aggregation level. </w:t>
      </w:r>
      <w:r>
        <w:t xml:space="preserve">Here we assume that a 20MHz bandwidth is used with 4 OFDM symbol mini-slots and 30kHz SCS. </w:t>
      </w:r>
      <w:r w:rsidR="00FF2965">
        <w:t xml:space="preserve">The MCS for the data transmission </w:t>
      </w:r>
      <w:r w:rsidR="00FF2965">
        <w:lastRenderedPageBreak/>
        <w:t xml:space="preserve">is chosen to be QPSK1/3 and the packet size is 64B. We use 6 REG per CCE and CCE - Aggregation level mapping from Table 7.3.2.1-1 </w:t>
      </w:r>
      <w:r w:rsidR="00E62D4F">
        <w:t xml:space="preserve">from </w:t>
      </w:r>
      <w:r w:rsidR="00FF2965">
        <w:t>[6].</w:t>
      </w:r>
    </w:p>
    <w:p w14:paraId="55332FC3" w14:textId="77777777" w:rsidR="00E82D7A" w:rsidRDefault="00FF2965" w:rsidP="007C18A0">
      <w:pPr>
        <w:keepNext/>
        <w:jc w:val="center"/>
      </w:pPr>
      <w:r w:rsidRPr="00FF2965">
        <w:rPr>
          <w:noProof/>
        </w:rPr>
        <w:drawing>
          <wp:inline distT="0" distB="0" distL="0" distR="0" wp14:anchorId="4951787E" wp14:editId="31140872">
            <wp:extent cx="3305175" cy="247740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8715" cy="2480056"/>
                    </a:xfrm>
                    <a:prstGeom prst="rect">
                      <a:avLst/>
                    </a:prstGeom>
                    <a:noFill/>
                    <a:ln>
                      <a:noFill/>
                    </a:ln>
                  </pic:spPr>
                </pic:pic>
              </a:graphicData>
            </a:graphic>
          </wp:inline>
        </w:drawing>
      </w:r>
    </w:p>
    <w:p w14:paraId="058214E4" w14:textId="41F308AF" w:rsidR="00FF2965" w:rsidRDefault="00E82D7A" w:rsidP="007C18A0">
      <w:pPr>
        <w:pStyle w:val="Caption"/>
        <w:jc w:val="center"/>
      </w:pPr>
      <w:r>
        <w:t xml:space="preserve">Figure </w:t>
      </w:r>
      <w:r w:rsidR="00C802DB">
        <w:rPr>
          <w:noProof/>
        </w:rPr>
        <w:fldChar w:fldCharType="begin"/>
      </w:r>
      <w:r w:rsidR="00C802DB">
        <w:rPr>
          <w:noProof/>
        </w:rPr>
        <w:instrText xml:space="preserve"> SEQ Figure \* ARABIC </w:instrText>
      </w:r>
      <w:r w:rsidR="00C802DB">
        <w:rPr>
          <w:noProof/>
        </w:rPr>
        <w:fldChar w:fldCharType="separate"/>
      </w:r>
      <w:r w:rsidR="00262E19">
        <w:rPr>
          <w:noProof/>
        </w:rPr>
        <w:t>2</w:t>
      </w:r>
      <w:r w:rsidR="00C802DB">
        <w:rPr>
          <w:noProof/>
        </w:rPr>
        <w:fldChar w:fldCharType="end"/>
      </w:r>
      <w:r>
        <w:t xml:space="preserve">. </w:t>
      </w:r>
      <w:r w:rsidRPr="00584BBA">
        <w:t>Example of DCI</w:t>
      </w:r>
      <w:r>
        <w:t xml:space="preserve"> overhead per</w:t>
      </w:r>
      <w:r w:rsidRPr="00584BBA">
        <w:t xml:space="preserve"> data </w:t>
      </w:r>
      <w:r>
        <w:t xml:space="preserve">transmission </w:t>
      </w:r>
      <w:r w:rsidRPr="00584BBA">
        <w:t>depending on the chosen aggregation level for the DCI</w:t>
      </w:r>
    </w:p>
    <w:p w14:paraId="1D902DBA" w14:textId="1D9C29FC" w:rsidR="00FF2965" w:rsidRPr="00076B08" w:rsidRDefault="00FF2965" w:rsidP="00076B08">
      <w:r>
        <w:t xml:space="preserve">We observe that already with aggregation level 4 the overhead is 38% and with aggregation </w:t>
      </w:r>
      <w:r w:rsidR="00E26382">
        <w:t xml:space="preserve">level </w:t>
      </w:r>
      <w:r>
        <w:t xml:space="preserve">8 it </w:t>
      </w:r>
      <w:r w:rsidR="08B0AFA8">
        <w:t>increases</w:t>
      </w:r>
      <w:r>
        <w:t xml:space="preserve"> to 75% and for aggregation level 16 it is 150%. </w:t>
      </w:r>
      <w:r w:rsidR="00E02B67">
        <w:t>Further,</w:t>
      </w:r>
      <w:r w:rsidR="00E26382">
        <w:t xml:space="preserve"> we consider the possible resource trade-off between PDCCH and PDSCH. Figure </w:t>
      </w:r>
      <w:r w:rsidR="00E02B67">
        <w:t>3</w:t>
      </w:r>
      <w:r w:rsidR="00E26382">
        <w:t xml:space="preserve"> shows the maximum number of data transmissions as a function of the number of DCI and aggregation level chosen for the DCIs. We</w:t>
      </w:r>
      <w:r>
        <w:t xml:space="preserve"> observe that when aggregation level 16 is needed</w:t>
      </w:r>
      <w:r w:rsidR="00E26382">
        <w:t xml:space="preserve"> (as indicated in [7])</w:t>
      </w:r>
      <w:r>
        <w:t>, we can support 1 or 2 DCI allocations with maximum of 1 and 2 data transmissions accordingly.</w:t>
      </w:r>
      <w:r w:rsidR="00E26382">
        <w:t xml:space="preserve"> Alternatively, if 3 DCI allocations i</w:t>
      </w:r>
      <w:r w:rsidR="00E02B67">
        <w:t>s</w:t>
      </w:r>
      <w:r w:rsidR="00E26382">
        <w:t xml:space="preserve"> needed, there is only resources left for 1 data transmission, with aggregation level 8 as the maximum. </w:t>
      </w:r>
    </w:p>
    <w:p w14:paraId="453EE433" w14:textId="77777777" w:rsidR="00076B08" w:rsidRDefault="00076B08" w:rsidP="007C18A0">
      <w:pPr>
        <w:keepNext/>
        <w:jc w:val="center"/>
      </w:pPr>
      <w:r w:rsidRPr="00076B08">
        <w:rPr>
          <w:noProof/>
        </w:rPr>
        <w:drawing>
          <wp:inline distT="0" distB="0" distL="0" distR="0" wp14:anchorId="7AC78AC5" wp14:editId="431EBAB1">
            <wp:extent cx="3532707"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9268" cy="2652868"/>
                    </a:xfrm>
                    <a:prstGeom prst="rect">
                      <a:avLst/>
                    </a:prstGeom>
                    <a:noFill/>
                    <a:ln>
                      <a:noFill/>
                    </a:ln>
                  </pic:spPr>
                </pic:pic>
              </a:graphicData>
            </a:graphic>
          </wp:inline>
        </w:drawing>
      </w:r>
    </w:p>
    <w:p w14:paraId="364B9E76" w14:textId="7F9BD460" w:rsidR="001B589C" w:rsidRDefault="00076B08" w:rsidP="007C18A0">
      <w:pPr>
        <w:pStyle w:val="Caption"/>
        <w:jc w:val="center"/>
      </w:pPr>
      <w:r>
        <w:t xml:space="preserve">Figure </w:t>
      </w:r>
      <w:r w:rsidR="00C802DB">
        <w:rPr>
          <w:noProof/>
        </w:rPr>
        <w:fldChar w:fldCharType="begin"/>
      </w:r>
      <w:r w:rsidR="00C802DB">
        <w:rPr>
          <w:noProof/>
        </w:rPr>
        <w:instrText xml:space="preserve"> SEQ Figure \* ARABIC </w:instrText>
      </w:r>
      <w:r w:rsidR="00C802DB">
        <w:rPr>
          <w:noProof/>
        </w:rPr>
        <w:fldChar w:fldCharType="separate"/>
      </w:r>
      <w:r w:rsidR="00262E19">
        <w:rPr>
          <w:noProof/>
        </w:rPr>
        <w:t>3</w:t>
      </w:r>
      <w:r w:rsidR="00C802DB">
        <w:rPr>
          <w:noProof/>
        </w:rPr>
        <w:fldChar w:fldCharType="end"/>
      </w:r>
      <w:r w:rsidR="00FF2965">
        <w:t xml:space="preserve">. </w:t>
      </w:r>
      <w:r w:rsidRPr="00411487">
        <w:t>Example of possible DCI and data allocations in the same mini-slot (20MHz, 4 symbol, 30 kHz SCS) depending on the chosen aggregation level for the DCIs</w:t>
      </w:r>
    </w:p>
    <w:p w14:paraId="40E76F22" w14:textId="1FB0ED05" w:rsidR="00E26382" w:rsidRPr="007C18A0" w:rsidRDefault="00E26382" w:rsidP="00E26382">
      <w:pPr>
        <w:rPr>
          <w:b/>
        </w:rPr>
      </w:pPr>
      <w:r w:rsidRPr="007C18A0">
        <w:rPr>
          <w:b/>
        </w:rPr>
        <w:t xml:space="preserve">Observation </w:t>
      </w:r>
      <w:r w:rsidR="000132F2">
        <w:rPr>
          <w:b/>
        </w:rPr>
        <w:t>2</w:t>
      </w:r>
      <w:r w:rsidRPr="007C18A0">
        <w:rPr>
          <w:b/>
        </w:rPr>
        <w:t>: The overhead of DCI can become very large, when dynamic scheduling is used to allocate all the TSN flow data transmissions.</w:t>
      </w:r>
    </w:p>
    <w:p w14:paraId="24BDB0D3" w14:textId="44798DB1" w:rsidR="00E26382" w:rsidRPr="007C18A0" w:rsidRDefault="00E26382" w:rsidP="00E26382">
      <w:pPr>
        <w:rPr>
          <w:b/>
        </w:rPr>
      </w:pPr>
      <w:r w:rsidRPr="007C18A0">
        <w:rPr>
          <w:b/>
        </w:rPr>
        <w:t xml:space="preserve">Observation </w:t>
      </w:r>
      <w:r w:rsidR="000132F2">
        <w:rPr>
          <w:b/>
        </w:rPr>
        <w:t>3</w:t>
      </w:r>
      <w:r w:rsidRPr="007C18A0">
        <w:rPr>
          <w:b/>
        </w:rPr>
        <w:t>: For large aggregation levels (&gt;8) PDCCH starvation can be an issue.</w:t>
      </w:r>
      <w:r w:rsidR="00C234C1" w:rsidRPr="007C18A0">
        <w:rPr>
          <w:b/>
        </w:rPr>
        <w:t xml:space="preserve"> </w:t>
      </w:r>
    </w:p>
    <w:p w14:paraId="27BB6D8D" w14:textId="6B682652" w:rsidR="00080B6D" w:rsidRPr="007C18A0" w:rsidRDefault="00E02B67" w:rsidP="00E26382">
      <w:pPr>
        <w:rPr>
          <w:b/>
        </w:rPr>
      </w:pPr>
      <w:r w:rsidRPr="007C18A0">
        <w:rPr>
          <w:b/>
        </w:rPr>
        <w:t xml:space="preserve">Observation </w:t>
      </w:r>
      <w:r w:rsidR="000132F2">
        <w:rPr>
          <w:b/>
        </w:rPr>
        <w:t>4</w:t>
      </w:r>
      <w:r w:rsidR="00080B6D" w:rsidRPr="007C18A0">
        <w:rPr>
          <w:b/>
        </w:rPr>
        <w:t xml:space="preserve">: Use of SPS and CG </w:t>
      </w:r>
      <w:r>
        <w:rPr>
          <w:b/>
        </w:rPr>
        <w:t>is</w:t>
      </w:r>
      <w:r w:rsidR="00080B6D" w:rsidRPr="007C18A0">
        <w:rPr>
          <w:b/>
        </w:rPr>
        <w:t xml:space="preserve"> of high</w:t>
      </w:r>
      <w:r>
        <w:rPr>
          <w:b/>
        </w:rPr>
        <w:t>est</w:t>
      </w:r>
      <w:r w:rsidR="00080B6D" w:rsidRPr="007C18A0">
        <w:rPr>
          <w:b/>
        </w:rPr>
        <w:t xml:space="preserve"> priority in order to ensure sufficient system capacity and reliability for TSN flows and other simultaneous dynamically scheduled traffic (eMBB, URLLC). </w:t>
      </w:r>
    </w:p>
    <w:p w14:paraId="5AF9720E" w14:textId="77777777" w:rsidR="00C85E4A" w:rsidRDefault="00C85E4A" w:rsidP="0027183A"/>
    <w:p w14:paraId="621C4EE0" w14:textId="77777777" w:rsidR="00C85E4A" w:rsidRDefault="00C85E4A" w:rsidP="0027183A"/>
    <w:p w14:paraId="26262BA4" w14:textId="462EC560" w:rsidR="005542A5" w:rsidRDefault="005542A5" w:rsidP="005542A5">
      <w:pPr>
        <w:pStyle w:val="Heading1"/>
      </w:pPr>
      <w:r>
        <w:t>3</w:t>
      </w:r>
      <w:r>
        <w:tab/>
        <w:t>SPS resolution for TSN flows</w:t>
      </w:r>
    </w:p>
    <w:p w14:paraId="383C08DA" w14:textId="43A7D559" w:rsidR="005542A5" w:rsidRDefault="005542A5" w:rsidP="0027183A">
      <w:r>
        <w:t xml:space="preserve">In order to leverage SPS for TSN periodic flows, the current lower limit of 10 ms configured periodicity needs to be lowered </w:t>
      </w:r>
      <w:r w:rsidR="0057024F">
        <w:t>close to ms or s</w:t>
      </w:r>
      <w:r>
        <w:t>ub-ms domain</w:t>
      </w:r>
      <w:r w:rsidR="008A44EF">
        <w:t xml:space="preserve"> (e.g. slot resolution or lower)</w:t>
      </w:r>
      <w:r>
        <w:t>. TSN support in R16 includes sub-ms flows with down to 0.5ms periodicity</w:t>
      </w:r>
      <w:r w:rsidR="00661583">
        <w:t>, e.g. TS22.104</w:t>
      </w:r>
      <w:r>
        <w:t xml:space="preserve">. </w:t>
      </w:r>
      <w:r w:rsidR="008A44EF">
        <w:t>I</w:t>
      </w:r>
      <w:r>
        <w:t xml:space="preserve">n this section, it is analysed what is the benefit of using </w:t>
      </w:r>
      <w:r w:rsidR="008A44EF">
        <w:t>a shorter (</w:t>
      </w:r>
      <w:r>
        <w:t>sub-slot</w:t>
      </w:r>
      <w:r w:rsidR="008A44EF">
        <w:t xml:space="preserve">) </w:t>
      </w:r>
      <w:r>
        <w:t>resolution in terms of reduced SPS overhead.</w:t>
      </w:r>
      <w:r w:rsidR="008A44EF">
        <w:t xml:space="preserve"> SPS overhead will be defined on PDSCH compared to the best-case scenario where a single dynamic allocation is conducted for each message of the TSN flow. E.g. for periodic flows, the SPS data channel overhead can be estimated to</w:t>
      </w:r>
    </w:p>
    <w:p w14:paraId="2F29C1F8" w14:textId="4F3F8556" w:rsidR="008A44EF" w:rsidRDefault="008A44EF" w:rsidP="009F26A6">
      <w:pPr>
        <w:jc w:val="center"/>
      </w:pPr>
      <m:oMath>
        <m:r>
          <w:rPr>
            <w:rFonts w:ascii="Cambria Math" w:hAnsi="Cambria Math"/>
          </w:rPr>
          <m:t>SPS Overhead=</m:t>
        </m:r>
        <m:d>
          <m:dPr>
            <m:ctrlPr>
              <w:rPr>
                <w:rFonts w:ascii="Cambria Math" w:hAnsi="Cambria Math"/>
                <w:i/>
              </w:rPr>
            </m:ctrlPr>
          </m:dPr>
          <m:e>
            <m:sSub>
              <m:sSubPr>
                <m:ctrlPr>
                  <w:rPr>
                    <w:rFonts w:ascii="Cambria Math" w:hAnsi="Cambria Math"/>
                    <w:i/>
                  </w:rPr>
                </m:ctrlPr>
              </m:sSubPr>
              <m:e>
                <m:r>
                  <w:rPr>
                    <w:rFonts w:ascii="Cambria Math" w:hAnsi="Cambria Math"/>
                  </w:rPr>
                  <m:t>CT</m:t>
                </m:r>
              </m:e>
              <m:sub>
                <m:r>
                  <w:rPr>
                    <w:rFonts w:ascii="Cambria Math" w:hAnsi="Cambria Math"/>
                  </w:rPr>
                  <m:t>App</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n</m:t>
                </m:r>
              </m:sub>
              <m:sup/>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P</m:t>
                        </m:r>
                      </m:e>
                      <m:sub>
                        <m:r>
                          <w:rPr>
                            <w:rFonts w:ascii="Cambria Math" w:hAnsi="Cambria Math"/>
                          </w:rPr>
                          <m:t>SPS</m:t>
                        </m:r>
                      </m:sub>
                    </m:sSub>
                    <m:d>
                      <m:dPr>
                        <m:ctrlPr>
                          <w:rPr>
                            <w:rFonts w:ascii="Cambria Math" w:hAnsi="Cambria Math"/>
                            <w:i/>
                          </w:rPr>
                        </m:ctrlPr>
                      </m:dPr>
                      <m:e>
                        <m:r>
                          <w:rPr>
                            <w:rFonts w:ascii="Cambria Math" w:hAnsi="Cambria Math"/>
                          </w:rPr>
                          <m:t>n</m:t>
                        </m:r>
                      </m:e>
                    </m:d>
                  </m:den>
                </m:f>
              </m:e>
            </m:nary>
            <m:r>
              <w:rPr>
                <w:rFonts w:ascii="Cambria Math" w:hAnsi="Cambria Math"/>
              </w:rPr>
              <m:t xml:space="preserve"> </m:t>
            </m:r>
          </m:e>
        </m:d>
        <m:r>
          <w:rPr>
            <w:rFonts w:ascii="Cambria Math" w:hAnsi="Cambria Math"/>
          </w:rPr>
          <m:t>-1</m:t>
        </m:r>
      </m:oMath>
      <w:r w:rsidR="009F26A6">
        <w:t>,</w:t>
      </w:r>
    </w:p>
    <w:p w14:paraId="723DFD70" w14:textId="555F210C" w:rsidR="009F26A6" w:rsidRDefault="009F26A6" w:rsidP="0027183A">
      <w:r>
        <w:t xml:space="preserve">Where </w:t>
      </w:r>
      <m:oMath>
        <m:sSub>
          <m:sSubPr>
            <m:ctrlPr>
              <w:rPr>
                <w:rFonts w:ascii="Cambria Math" w:hAnsi="Cambria Math"/>
                <w:i/>
              </w:rPr>
            </m:ctrlPr>
          </m:sSubPr>
          <m:e>
            <m:r>
              <w:rPr>
                <w:rFonts w:ascii="Cambria Math" w:hAnsi="Cambria Math"/>
              </w:rPr>
              <m:t>CT</m:t>
            </m:r>
          </m:e>
          <m:sub>
            <m:r>
              <w:rPr>
                <w:rFonts w:ascii="Cambria Math" w:hAnsi="Cambria Math"/>
              </w:rPr>
              <m:t>App</m:t>
            </m:r>
          </m:sub>
        </m:sSub>
      </m:oMath>
      <w:r>
        <w:t xml:space="preserve"> is the Cycle Time or periodicity of the application/system and </w:t>
      </w:r>
      <m:oMath>
        <m:sSub>
          <m:sSubPr>
            <m:ctrlPr>
              <w:rPr>
                <w:rFonts w:ascii="Cambria Math" w:hAnsi="Cambria Math"/>
                <w:i/>
              </w:rPr>
            </m:ctrlPr>
          </m:sSubPr>
          <m:e>
            <m:r>
              <w:rPr>
                <w:rFonts w:ascii="Cambria Math" w:hAnsi="Cambria Math"/>
              </w:rPr>
              <m:t>P</m:t>
            </m:r>
          </m:e>
          <m:sub>
            <m:r>
              <w:rPr>
                <w:rFonts w:ascii="Cambria Math" w:hAnsi="Cambria Math"/>
              </w:rPr>
              <m:t>SPS</m:t>
            </m:r>
          </m:sub>
        </m:sSub>
        <m:r>
          <w:rPr>
            <w:rFonts w:ascii="Cambria Math" w:hAnsi="Cambria Math"/>
          </w:rPr>
          <m:t>(n)</m:t>
        </m:r>
      </m:oMath>
      <w:r>
        <w:t xml:space="preserve"> is the allocated effective SPS period for the </w:t>
      </w:r>
      <w:r w:rsidRPr="009F26A6">
        <w:rPr>
          <w:i/>
        </w:rPr>
        <w:t>n</w:t>
      </w:r>
      <w:r>
        <w:t xml:space="preserve">’th SPS allocation for the user. E.g. multiple SPS flows can be allocated with different time offsets in case the resolution or granularity of the SPS is large compared to the application cycle time. </w:t>
      </w:r>
    </w:p>
    <w:p w14:paraId="40DA1C1A" w14:textId="2FA056DE" w:rsidR="008A44EF" w:rsidRDefault="008A44EF" w:rsidP="0027183A">
      <w:r>
        <w:t xml:space="preserve">In the downlink, the overhead of SPS allocations is less critical as the network can decide instantaneously to re-use the reserved allocation of the SPS stream for another user (or another dynamic allocation to same user). The main </w:t>
      </w:r>
      <w:r w:rsidR="00E02B67">
        <w:t xml:space="preserve">issue </w:t>
      </w:r>
      <w:r>
        <w:t>of such overhead is therefore on UE side where it is attractive to reduce the amount of SPS instances that are not leveraged by the network (e.g. power consumption, etc.).</w:t>
      </w:r>
      <w:r w:rsidR="00661583">
        <w:t xml:space="preserve"> In multiplexing many users with a lot of SPS allocation overhead, it may also be more complicated to keep track that SPS instances for different users on overlapping resources would not be needed simultaneously.</w:t>
      </w:r>
    </w:p>
    <w:p w14:paraId="2B513132" w14:textId="4B876B59" w:rsidR="00221E0D" w:rsidRDefault="009F26A6" w:rsidP="0027183A">
      <w:r>
        <w:t xml:space="preserve">In the end, the overhead needs to be defined at a certain jitter criterion. If there is no delay requirement for the TSN flows, it suffices to make a very large SPS allocation once in a while and bundle many messages within such a transmission and then re-order packets afterwards on the egress (e.g. via hold and forward buffer in the UE). However, in general it is desirable to reduce the latency </w:t>
      </w:r>
      <w:r w:rsidR="00E02B67">
        <w:t xml:space="preserve">in </w:t>
      </w:r>
      <w:r>
        <w:t>the 5G</w:t>
      </w:r>
      <w:r w:rsidR="00E02B67">
        <w:t xml:space="preserve"> system</w:t>
      </w:r>
      <w:r>
        <w:t xml:space="preserve"> and meet the properties of realtime systems (e.g. non-isochronous and isochronous operations as specified for TSN in IEEE 802.1 xx and 802.1Qch).</w:t>
      </w:r>
      <w:r w:rsidR="00221E0D">
        <w:t xml:space="preserve"> </w:t>
      </w:r>
      <w:r w:rsidR="00C24247">
        <w:t xml:space="preserve">There are no jitter requirements specified </w:t>
      </w:r>
      <w:r w:rsidR="0015629E">
        <w:t xml:space="preserve">for the </w:t>
      </w:r>
      <w:r w:rsidR="001247A3">
        <w:t>NR Uu interface</w:t>
      </w:r>
      <w:r w:rsidR="0015629E">
        <w:t xml:space="preserve"> in Release 16, as de-jittering </w:t>
      </w:r>
      <w:r w:rsidR="00221E0D">
        <w:t>can be done in a hold-and-forward buffer on the downlink egress point in the UE</w:t>
      </w:r>
      <w:r w:rsidR="004A2B26">
        <w:t xml:space="preserve"> (and vi</w:t>
      </w:r>
      <w:r w:rsidR="001247A3">
        <w:t>ce</w:t>
      </w:r>
      <w:r w:rsidR="004A2B26">
        <w:t xml:space="preserve"> versa in the UPF for uplink)</w:t>
      </w:r>
      <w:r w:rsidR="00C24247">
        <w:t xml:space="preserve">. </w:t>
      </w:r>
      <w:r w:rsidR="00221E0D">
        <w:t xml:space="preserve">However, with a desire to reduce delay and ensure that incoming cyclic messages are delivered in right cyclic order on the output, it can be derived that a total jitter requirement </w:t>
      </w:r>
      <w:r w:rsidR="00C24247">
        <w:t xml:space="preserve">&lt;1 Cycle Time </w:t>
      </w:r>
      <w:r w:rsidR="00221E0D">
        <w:t xml:space="preserve">(e.g. </w:t>
      </w:r>
      <m:oMath>
        <m:sSub>
          <m:sSubPr>
            <m:ctrlPr>
              <w:rPr>
                <w:rFonts w:ascii="Cambria Math" w:hAnsi="Cambria Math"/>
                <w:i/>
              </w:rPr>
            </m:ctrlPr>
          </m:sSubPr>
          <m:e>
            <m:r>
              <w:rPr>
                <w:rFonts w:ascii="Cambria Math" w:hAnsi="Cambria Math"/>
              </w:rPr>
              <m:t>CT</m:t>
            </m:r>
          </m:e>
          <m:sub>
            <m:r>
              <w:rPr>
                <w:rFonts w:ascii="Cambria Math" w:hAnsi="Cambria Math"/>
              </w:rPr>
              <m:t>App</m:t>
            </m:r>
          </m:sub>
        </m:sSub>
      </m:oMath>
      <w:r w:rsidR="00221E0D">
        <w:t xml:space="preserve">) should be supported (seen as a delay jitter of </w:t>
      </w:r>
      <w:r w:rsidR="00221E0D" w:rsidRPr="00221E0D">
        <w:t>±</w:t>
      </w:r>
      <w:r w:rsidR="00221E0D">
        <w:t xml:space="preserve">50% </w:t>
      </w:r>
      <m:oMath>
        <m:sSub>
          <m:sSubPr>
            <m:ctrlPr>
              <w:rPr>
                <w:rFonts w:ascii="Cambria Math" w:hAnsi="Cambria Math"/>
                <w:i/>
              </w:rPr>
            </m:ctrlPr>
          </m:sSubPr>
          <m:e>
            <m:r>
              <w:rPr>
                <w:rFonts w:ascii="Cambria Math" w:hAnsi="Cambria Math"/>
              </w:rPr>
              <m:t>CT</m:t>
            </m:r>
          </m:e>
          <m:sub>
            <m:r>
              <w:rPr>
                <w:rFonts w:ascii="Cambria Math" w:hAnsi="Cambria Math"/>
              </w:rPr>
              <m:t>App</m:t>
            </m:r>
          </m:sub>
        </m:sSub>
      </m:oMath>
      <w:r w:rsidR="00DF7A29">
        <w:t xml:space="preserve"> or </w:t>
      </w:r>
      <w:r w:rsidR="00FF74A5">
        <w:t xml:space="preserve">rather </w:t>
      </w:r>
      <w:r w:rsidR="00DF7A29">
        <w:t>as a delay uncertainty of [0;</w:t>
      </w:r>
      <m:oMath>
        <m:r>
          <w:rPr>
            <w:rFonts w:ascii="Cambria Math" w:hAnsi="Cambria Math"/>
          </w:rPr>
          <m:t xml:space="preserve"> </m:t>
        </m:r>
        <m:sSub>
          <m:sSubPr>
            <m:ctrlPr>
              <w:rPr>
                <w:rFonts w:ascii="Cambria Math" w:hAnsi="Cambria Math"/>
                <w:i/>
              </w:rPr>
            </m:ctrlPr>
          </m:sSubPr>
          <m:e>
            <m:r>
              <w:rPr>
                <w:rFonts w:ascii="Cambria Math" w:hAnsi="Cambria Math"/>
              </w:rPr>
              <m:t>CT</m:t>
            </m:r>
          </m:e>
          <m:sub>
            <m:r>
              <w:rPr>
                <w:rFonts w:ascii="Cambria Math" w:hAnsi="Cambria Math"/>
              </w:rPr>
              <m:t>App</m:t>
            </m:r>
          </m:sub>
        </m:sSub>
      </m:oMath>
      <w:r w:rsidR="00DF7A29">
        <w:t>[).</w:t>
      </w:r>
      <w:r w:rsidR="00C24247">
        <w:t xml:space="preserve"> </w:t>
      </w:r>
      <w:r w:rsidR="00221E0D">
        <w:t xml:space="preserve">This way </w:t>
      </w:r>
      <w:r w:rsidR="00C24247">
        <w:t>packets are delivered in-order and in distinct intervals</w:t>
      </w:r>
      <w:r w:rsidR="00221E0D">
        <w:t xml:space="preserve"> without unnecessarily increasing the</w:t>
      </w:r>
      <w:r w:rsidR="00C24247">
        <w:t xml:space="preserve"> system delay </w:t>
      </w:r>
      <w:r w:rsidR="00221E0D">
        <w:t>and relying on t</w:t>
      </w:r>
      <w:r w:rsidR="00C24247">
        <w:t xml:space="preserve">he hold-and-forward buffer </w:t>
      </w:r>
      <w:r w:rsidR="00221E0D">
        <w:t xml:space="preserve">to </w:t>
      </w:r>
      <w:r w:rsidR="00C24247">
        <w:t xml:space="preserve">take care also of packet re-ordering and mapping packets back to the intended cycle periods. </w:t>
      </w:r>
    </w:p>
    <w:p w14:paraId="1AF3C49B" w14:textId="52B8EFD9" w:rsidR="005542A5" w:rsidRDefault="00C24247" w:rsidP="0027183A">
      <w:r>
        <w:t xml:space="preserve">Hence, as we consider the value of various SPS configuration options, we will use a jitter requirements of </w:t>
      </w:r>
      <w:r w:rsidR="00E7231F" w:rsidRPr="00221E0D">
        <w:t>±</w:t>
      </w:r>
      <w:r w:rsidR="00E7231F">
        <w:t xml:space="preserve">50% </w:t>
      </w:r>
      <m:oMath>
        <m:sSub>
          <m:sSubPr>
            <m:ctrlPr>
              <w:rPr>
                <w:rFonts w:ascii="Cambria Math" w:hAnsi="Cambria Math"/>
                <w:i/>
              </w:rPr>
            </m:ctrlPr>
          </m:sSubPr>
          <m:e>
            <m:r>
              <w:rPr>
                <w:rFonts w:ascii="Cambria Math" w:hAnsi="Cambria Math"/>
              </w:rPr>
              <m:t>CT</m:t>
            </m:r>
          </m:e>
          <m:sub>
            <m:r>
              <w:rPr>
                <w:rFonts w:ascii="Cambria Math" w:hAnsi="Cambria Math"/>
              </w:rPr>
              <m:t>App</m:t>
            </m:r>
          </m:sub>
        </m:sSub>
      </m:oMath>
      <w:r w:rsidR="00E7231F">
        <w:t xml:space="preserve"> </w:t>
      </w:r>
      <w:r>
        <w:t xml:space="preserve"> as the basic assumption</w:t>
      </w:r>
      <w:r w:rsidR="00B206C2">
        <w:t>.</w:t>
      </w:r>
      <w:r>
        <w:t xml:space="preserve"> </w:t>
      </w:r>
    </w:p>
    <w:p w14:paraId="56EAD1F1" w14:textId="5E1F35CC" w:rsidR="001A4D44" w:rsidRDefault="006D3306" w:rsidP="001A4D44">
      <w:r>
        <w:t xml:space="preserve">Before showing generalized results, </w:t>
      </w:r>
      <w:r w:rsidR="00161BDE">
        <w:t>a</w:t>
      </w:r>
      <w:r>
        <w:t xml:space="preserve"> simple </w:t>
      </w:r>
      <w:r w:rsidR="00EB2A40">
        <w:t xml:space="preserve">example with a </w:t>
      </w:r>
      <w:r w:rsidR="00CA3B75">
        <w:t xml:space="preserve">downlink </w:t>
      </w:r>
      <w:r>
        <w:t>TSN flow</w:t>
      </w:r>
      <w:r w:rsidR="00161BDE">
        <w:t xml:space="preserve"> </w:t>
      </w:r>
      <w:r w:rsidR="00FF74A5">
        <w:t xml:space="preserve">with a 1200 Hz cycle, e.g. 0.83333ms </w:t>
      </w:r>
      <w:r w:rsidR="00CA3B75">
        <w:t>periodicity</w:t>
      </w:r>
      <w:r w:rsidR="00EB2A40">
        <w:t xml:space="preserve">, is considered. </w:t>
      </w:r>
      <w:r w:rsidR="00D44592">
        <w:t xml:space="preserve">In </w:t>
      </w:r>
      <w:r w:rsidR="007C2606">
        <w:fldChar w:fldCharType="begin"/>
      </w:r>
      <w:r w:rsidR="007C2606">
        <w:instrText xml:space="preserve"> REF _Ref931477 \h </w:instrText>
      </w:r>
      <w:r w:rsidR="007C2606">
        <w:fldChar w:fldCharType="separate"/>
      </w:r>
      <w:r w:rsidR="00427D99">
        <w:t xml:space="preserve">Figure </w:t>
      </w:r>
      <w:r w:rsidR="00427D99">
        <w:rPr>
          <w:noProof/>
        </w:rPr>
        <w:t>4</w:t>
      </w:r>
      <w:r w:rsidR="007C2606">
        <w:fldChar w:fldCharType="end"/>
      </w:r>
      <w:r w:rsidR="00D44592">
        <w:t xml:space="preserve">, it is shown how SPS patterns are aligned for the two flows, with </w:t>
      </w:r>
      <w:r w:rsidR="00EB2A40">
        <w:t>two</w:t>
      </w:r>
      <w:r w:rsidR="00D44592">
        <w:t xml:space="preserve"> different cases</w:t>
      </w:r>
      <w:r w:rsidR="00EB2A40">
        <w:t xml:space="preserve">. The first case, the minimum granularity or resolution of defining SPS flows is a slot time (e.g. 1 ms for 15 kHz SCS). A single 1 ms SPS flow cannot achieve a jitter lower than the target, e.g. a 1 ms flow would need to add additional delay and bundle multiple messages (e.g. 2 for this example) for some of the SPS allocations. While not adding so much delay in the time-domain, it would add an additional overhead in the resource domain as some SPS allocations would need multiple messages while others would need to carry only a single TSN message. For the 1 ms case, it is however possible (assuming that multiple SPS patterns per BWP shall be supported) to configure multiple 1ms SPS flows but with an offset between them. In the example, an offset of 4 mini-slots between the two is selected which means that there is always an allocation coming within the jitter requirement for the application. In </w:t>
      </w:r>
      <w:r w:rsidR="00EB2A40">
        <w:fldChar w:fldCharType="begin"/>
      </w:r>
      <w:r w:rsidR="00EB2A40">
        <w:instrText xml:space="preserve"> REF _Ref931477 \h </w:instrText>
      </w:r>
      <w:r w:rsidR="00EB2A40">
        <w:fldChar w:fldCharType="separate"/>
      </w:r>
      <w:r w:rsidR="00427D99">
        <w:t xml:space="preserve">Figure </w:t>
      </w:r>
      <w:r w:rsidR="00427D99">
        <w:rPr>
          <w:noProof/>
        </w:rPr>
        <w:t>4</w:t>
      </w:r>
      <w:r w:rsidR="00EB2A40">
        <w:fldChar w:fldCharType="end"/>
      </w:r>
      <w:r w:rsidR="00EB2A40">
        <w:t xml:space="preserve"> it is shown which allocations will be used and which ones will be unused (for this TSN flow) and the allocation overhead can be calculated to 67%. Alternatively, having a higher granularity or resolution of a mini-slot enables to configure a single SPS flow much closer to the application cycle, in this case </w:t>
      </w:r>
      <w:r w:rsidR="001A4D44">
        <w:t xml:space="preserve">a 5 mini-slot cycle has the closest fit which leads to an overhead of only 17%. E.g. it is clear that going to a sub-slot resolution helps to match an arbitrary application while significantly reducing the allocation overhead. </w:t>
      </w:r>
    </w:p>
    <w:p w14:paraId="435FD3D8" w14:textId="5096556B" w:rsidR="00D44592" w:rsidRDefault="00D44592" w:rsidP="007C18A0">
      <w:pPr>
        <w:pStyle w:val="ListParagraph"/>
      </w:pPr>
    </w:p>
    <w:p w14:paraId="1859B225" w14:textId="77777777" w:rsidR="00793E21" w:rsidRDefault="00793E21" w:rsidP="00D44592"/>
    <w:p w14:paraId="4C67FF32" w14:textId="416D761C" w:rsidR="00793E21" w:rsidRDefault="002938AC" w:rsidP="00D44592">
      <w:r>
        <w:rPr>
          <w:noProof/>
        </w:rPr>
        <mc:AlternateContent>
          <mc:Choice Requires="wps">
            <w:drawing>
              <wp:anchor distT="0" distB="0" distL="114300" distR="114300" simplePos="0" relativeHeight="251658243" behindDoc="0" locked="0" layoutInCell="1" allowOverlap="1" wp14:anchorId="1F58E405" wp14:editId="75AF42A0">
                <wp:simplePos x="0" y="0"/>
                <wp:positionH relativeFrom="column">
                  <wp:posOffset>0</wp:posOffset>
                </wp:positionH>
                <wp:positionV relativeFrom="paragraph">
                  <wp:posOffset>4199255</wp:posOffset>
                </wp:positionV>
                <wp:extent cx="6327775" cy="635"/>
                <wp:effectExtent l="0" t="0" r="0" b="0"/>
                <wp:wrapTopAndBottom/>
                <wp:docPr id="8" name="Text Box 8"/>
                <wp:cNvGraphicFramePr/>
                <a:graphic xmlns:a="http://schemas.openxmlformats.org/drawingml/2006/main">
                  <a:graphicData uri="http://schemas.microsoft.com/office/word/2010/wordprocessingShape">
                    <wps:wsp>
                      <wps:cNvSpPr txBox="1"/>
                      <wps:spPr>
                        <a:xfrm>
                          <a:off x="0" y="0"/>
                          <a:ext cx="6327775" cy="635"/>
                        </a:xfrm>
                        <a:prstGeom prst="rect">
                          <a:avLst/>
                        </a:prstGeom>
                        <a:solidFill>
                          <a:prstClr val="white"/>
                        </a:solidFill>
                        <a:ln>
                          <a:noFill/>
                        </a:ln>
                      </wps:spPr>
                      <wps:txbx>
                        <w:txbxContent>
                          <w:p w14:paraId="4B8BFEFF" w14:textId="62D094C9" w:rsidR="00375B2F" w:rsidRPr="00EA11D0" w:rsidRDefault="00375B2F" w:rsidP="002938AC">
                            <w:pPr>
                              <w:pStyle w:val="Caption"/>
                              <w:rPr>
                                <w:sz w:val="20"/>
                                <w:szCs w:val="20"/>
                              </w:rPr>
                            </w:pPr>
                            <w:bookmarkStart w:id="1" w:name="_Ref931477"/>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1"/>
                            <w:r>
                              <w:t>. Illustrating of matching SPS patterns to 1200Hz application, with a) slot and b) mini-slot allocation (SCS of 15kHz).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F58E405" id="_x0000_t202" coordsize="21600,21600" o:spt="202" path="m,l,21600r21600,l21600,xe">
                <v:stroke joinstyle="miter"/>
                <v:path gradientshapeok="t" o:connecttype="rect"/>
              </v:shapetype>
              <v:shape id="Text Box 8" o:spid="_x0000_s1026" type="#_x0000_t202" style="position:absolute;margin-left:0;margin-top:330.65pt;width:498.25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" stroked="f">
                <v:textbox style="mso-fit-shape-to-text:t" inset="0,0,0,0">
                  <w:txbxContent>
                    <w:p w14:paraId="4B8BFEFF" w14:textId="62D094C9" w:rsidR="00375B2F" w:rsidRPr="00EA11D0" w:rsidRDefault="00375B2F" w:rsidP="002938AC">
                      <w:pPr>
                        <w:pStyle w:val="Caption"/>
                        <w:rPr>
                          <w:sz w:val="20"/>
                          <w:szCs w:val="20"/>
                        </w:rPr>
                      </w:pPr>
                      <w:bookmarkStart w:id="2" w:name="_Ref931477"/>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2"/>
                      <w:r>
                        <w:t>. Illustrating of matching SPS patterns to 1200Hz application, with a) slot and b) mini-slot allocation (SCS of 15kHz).</w:t>
                      </w:r>
                    </w:p>
                  </w:txbxContent>
                </v:textbox>
                <w10:wrap type="topAndBottom"/>
              </v:shape>
            </w:pict>
          </mc:Fallback>
        </mc:AlternateContent>
      </w:r>
      <w:r w:rsidRPr="002938AC">
        <w:rPr>
          <w:noProof/>
        </w:rPr>
        <w:drawing>
          <wp:anchor distT="0" distB="0" distL="114300" distR="114300" simplePos="0" relativeHeight="251658242" behindDoc="0" locked="0" layoutInCell="1" allowOverlap="1" wp14:anchorId="70C65587" wp14:editId="6C71D2BC">
            <wp:simplePos x="0" y="0"/>
            <wp:positionH relativeFrom="column">
              <wp:posOffset>0</wp:posOffset>
            </wp:positionH>
            <wp:positionV relativeFrom="paragraph">
              <wp:posOffset>260350</wp:posOffset>
            </wp:positionV>
            <wp:extent cx="6327775" cy="3881755"/>
            <wp:effectExtent l="0" t="0" r="0" b="444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27775" cy="3881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29BB39" w14:textId="77777777" w:rsidR="00930070" w:rsidRDefault="00930070" w:rsidP="00D44592"/>
    <w:p w14:paraId="18E79693" w14:textId="73EBF270" w:rsidR="00D44592" w:rsidRDefault="00AF3F22" w:rsidP="00D44592">
      <w:r>
        <w:t>The above results can be generalized for any application period as well as different SCS configurations. Again, it is assumed that the application offset is known in advance so the SPS pattern can be tuned in the time-domain. We assume regular SPS patterns</w:t>
      </w:r>
      <w:r w:rsidR="00427D99">
        <w:t xml:space="preserve"> and only a single configured pattern</w:t>
      </w:r>
      <w:r w:rsidR="00A83798">
        <w:t xml:space="preserve"> per TSN flow</w:t>
      </w:r>
      <w:r>
        <w:t>. We consider the two modes, SPS defined at slot resolution and SPS defined at mini-slot resolution (two OFDM symbols).</w:t>
      </w:r>
      <w:r w:rsidR="00427D99">
        <w:t xml:space="preserve"> Results are generalized to show the impact of increasing e.g. the SCS of the system which generally improves the SPS allocation granularity. The results are shown in</w:t>
      </w:r>
      <w:r w:rsidR="00216C15">
        <w:t xml:space="preserve"> </w:t>
      </w:r>
      <w:r w:rsidR="00427D99">
        <w:fldChar w:fldCharType="begin"/>
      </w:r>
      <w:r w:rsidR="00427D99">
        <w:instrText xml:space="preserve"> REF _Ref932443 \h </w:instrText>
      </w:r>
      <w:r w:rsidR="00427D99">
        <w:fldChar w:fldCharType="separate"/>
      </w:r>
      <w:r w:rsidR="00427D99">
        <w:t xml:space="preserve">Figure </w:t>
      </w:r>
      <w:r w:rsidR="00427D99">
        <w:rPr>
          <w:noProof/>
        </w:rPr>
        <w:t>5</w:t>
      </w:r>
      <w:r w:rsidR="00427D99">
        <w:fldChar w:fldCharType="end"/>
      </w:r>
      <w:r w:rsidR="00427D99">
        <w:t xml:space="preserve">. As only single SPS patterns are considered, the abovementioned case is not supported at 15kHz SCS for the slot-resolution mode. </w:t>
      </w:r>
      <w:r w:rsidR="003E66CE">
        <w:t xml:space="preserve">It is shown that having sub-slot resolution greatly </w:t>
      </w:r>
      <w:r w:rsidR="006C175C">
        <w:t>de</w:t>
      </w:r>
      <w:r w:rsidR="003E66CE">
        <w:t>creases the overhead and allows for low-overhead solutions for all network configurations (e.g. SCS) even for applications with ms or sub-ms cycle times.</w:t>
      </w:r>
      <w:r w:rsidR="00F127FF">
        <w:t xml:space="preserve"> As stated, some cases can be improved with multi-SPS pattern allocations but it adds additional complexity to build each TSN flow with multiple SPS patterns and the capability for multiple patterns needs also to be understood to support multiple TSN flows per UE. </w:t>
      </w:r>
    </w:p>
    <w:p w14:paraId="10E3B6F0" w14:textId="4978CCF9" w:rsidR="00D44592" w:rsidRDefault="00047752" w:rsidP="00D44592">
      <w:r>
        <w:rPr>
          <w:noProof/>
        </w:rPr>
        <mc:AlternateContent>
          <mc:Choice Requires="wps">
            <w:drawing>
              <wp:anchor distT="0" distB="0" distL="114300" distR="114300" simplePos="0" relativeHeight="251658241" behindDoc="0" locked="0" layoutInCell="1" allowOverlap="1" wp14:anchorId="3A5C3E0E" wp14:editId="1C589C07">
                <wp:simplePos x="0" y="0"/>
                <wp:positionH relativeFrom="column">
                  <wp:posOffset>0</wp:posOffset>
                </wp:positionH>
                <wp:positionV relativeFrom="paragraph">
                  <wp:posOffset>4175125</wp:posOffset>
                </wp:positionV>
                <wp:extent cx="6331585" cy="635"/>
                <wp:effectExtent l="0" t="0" r="0" b="0"/>
                <wp:wrapTopAndBottom/>
                <wp:docPr id="2" name="Text Box 2"/>
                <wp:cNvGraphicFramePr/>
                <a:graphic xmlns:a="http://schemas.openxmlformats.org/drawingml/2006/main">
                  <a:graphicData uri="http://schemas.microsoft.com/office/word/2010/wordprocessingShape">
                    <wps:wsp>
                      <wps:cNvSpPr txBox="1"/>
                      <wps:spPr>
                        <a:xfrm>
                          <a:off x="0" y="0"/>
                          <a:ext cx="6331585" cy="635"/>
                        </a:xfrm>
                        <a:prstGeom prst="rect">
                          <a:avLst/>
                        </a:prstGeom>
                        <a:solidFill>
                          <a:prstClr val="white"/>
                        </a:solidFill>
                        <a:ln>
                          <a:noFill/>
                        </a:ln>
                      </wps:spPr>
                      <wps:txbx>
                        <w:txbxContent>
                          <w:p w14:paraId="4EC33599" w14:textId="58BE1613" w:rsidR="00375B2F" w:rsidRPr="00486D1D" w:rsidRDefault="00375B2F">
                            <w:pPr>
                              <w:pStyle w:val="Caption"/>
                              <w:jc w:val="center"/>
                              <w:rPr>
                                <w:sz w:val="20"/>
                                <w:szCs w:val="20"/>
                              </w:rPr>
                            </w:pPr>
                            <w:bookmarkStart w:id="3" w:name="_Ref932443"/>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bookmarkEnd w:id="3"/>
                            <w:r>
                              <w:t>. Allocation overhead and Application Cycle Time support at +/- 50% Cycle Time jitter versus SPS resolution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5C3E0E" id="Text Box 2" o:spid="_x0000_s1027" type="#_x0000_t202" style="position:absolute;margin-left:0;margin-top:328.75pt;width:498.5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" stroked="f">
                <v:textbox style="mso-fit-shape-to-text:t" inset="0,0,0,0">
                  <w:txbxContent>
                    <w:p w14:paraId="4EC33599" w14:textId="58BE1613" w:rsidR="00375B2F" w:rsidRPr="00486D1D" w:rsidRDefault="00375B2F">
                      <w:pPr>
                        <w:pStyle w:val="Caption"/>
                        <w:jc w:val="center"/>
                        <w:rPr>
                          <w:sz w:val="20"/>
                          <w:szCs w:val="20"/>
                        </w:rPr>
                      </w:pPr>
                      <w:bookmarkStart w:id="4" w:name="_Ref932443"/>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bookmarkEnd w:id="4"/>
                      <w:r>
                        <w:t>. Allocation overhead and Application Cycle Time support at +/- 50% Cycle Time jitter versus SPS resolution</w:t>
                      </w:r>
                    </w:p>
                  </w:txbxContent>
                </v:textbox>
                <w10:wrap type="topAndBottom"/>
              </v:shape>
            </w:pict>
          </mc:Fallback>
        </mc:AlternateContent>
      </w:r>
      <w:r w:rsidR="00CC50E6" w:rsidRPr="00CC50E6">
        <w:rPr>
          <w:noProof/>
        </w:rPr>
        <w:drawing>
          <wp:anchor distT="0" distB="0" distL="114300" distR="114300" simplePos="0" relativeHeight="251658240" behindDoc="0" locked="0" layoutInCell="1" allowOverlap="1" wp14:anchorId="7618AA96" wp14:editId="503F7327">
            <wp:simplePos x="0" y="0"/>
            <wp:positionH relativeFrom="column">
              <wp:posOffset>0</wp:posOffset>
            </wp:positionH>
            <wp:positionV relativeFrom="paragraph">
              <wp:posOffset>259715</wp:posOffset>
            </wp:positionV>
            <wp:extent cx="6331585" cy="385826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1585" cy="3858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AB06F8" w14:textId="4BDD71C6" w:rsidR="00582F98" w:rsidRDefault="00115433" w:rsidP="0027183A">
      <w:pPr>
        <w:rPr>
          <w:b/>
        </w:rPr>
      </w:pPr>
      <w:r w:rsidRPr="00A93DC2">
        <w:rPr>
          <w:b/>
        </w:rPr>
        <w:t>Observation</w:t>
      </w:r>
      <w:r w:rsidR="00611BC6">
        <w:rPr>
          <w:b/>
        </w:rPr>
        <w:t xml:space="preserve"> </w:t>
      </w:r>
      <w:r w:rsidR="000132F2">
        <w:rPr>
          <w:b/>
        </w:rPr>
        <w:t>5</w:t>
      </w:r>
      <w:r w:rsidRPr="00A93DC2">
        <w:rPr>
          <w:b/>
        </w:rPr>
        <w:t>:</w:t>
      </w:r>
      <w:r w:rsidRPr="00582F98">
        <w:rPr>
          <w:b/>
        </w:rPr>
        <w:t xml:space="preserve"> </w:t>
      </w:r>
      <w:r w:rsidR="008358D9" w:rsidRPr="00332211">
        <w:rPr>
          <w:b/>
        </w:rPr>
        <w:t>There is significant benefit of having SPS periodicities with sub-slot resolution</w:t>
      </w:r>
      <w:r w:rsidR="00582F98" w:rsidRPr="00332211">
        <w:rPr>
          <w:b/>
        </w:rPr>
        <w:t xml:space="preserve"> as it allows</w:t>
      </w:r>
      <w:r w:rsidR="008358D9" w:rsidRPr="00332211">
        <w:rPr>
          <w:b/>
        </w:rPr>
        <w:t xml:space="preserve"> reducing the </w:t>
      </w:r>
      <w:r w:rsidR="007F1315" w:rsidRPr="00332211">
        <w:rPr>
          <w:b/>
        </w:rPr>
        <w:t xml:space="preserve">SPS </w:t>
      </w:r>
      <w:r w:rsidR="008358D9" w:rsidRPr="00332211">
        <w:rPr>
          <w:b/>
        </w:rPr>
        <w:t xml:space="preserve">allocation overhead </w:t>
      </w:r>
      <w:r w:rsidR="009E599D" w:rsidRPr="00332211">
        <w:rPr>
          <w:b/>
        </w:rPr>
        <w:t xml:space="preserve">and reducing the SPS allocation complexity </w:t>
      </w:r>
      <w:r w:rsidR="008358D9" w:rsidRPr="00332211">
        <w:rPr>
          <w:b/>
        </w:rPr>
        <w:t>while ensuring that the 5GS TSN bridge supports isochronous realtime operation.</w:t>
      </w:r>
    </w:p>
    <w:p w14:paraId="2A6AA317" w14:textId="23947909" w:rsidR="005542A5" w:rsidRDefault="00582F98" w:rsidP="0027183A">
      <w:r>
        <w:rPr>
          <w:b/>
        </w:rPr>
        <w:t xml:space="preserve">Observation </w:t>
      </w:r>
      <w:r w:rsidR="00F9456D">
        <w:rPr>
          <w:b/>
        </w:rPr>
        <w:t>6</w:t>
      </w:r>
      <w:r>
        <w:rPr>
          <w:b/>
        </w:rPr>
        <w:t>:</w:t>
      </w:r>
      <w:r w:rsidR="008358D9" w:rsidRPr="00332211">
        <w:rPr>
          <w:b/>
        </w:rPr>
        <w:t xml:space="preserve"> </w:t>
      </w:r>
      <w:r>
        <w:rPr>
          <w:b/>
        </w:rPr>
        <w:t>When</w:t>
      </w:r>
      <w:r w:rsidRPr="00332211">
        <w:rPr>
          <w:b/>
        </w:rPr>
        <w:t xml:space="preserve"> </w:t>
      </w:r>
      <w:r w:rsidR="00823AD9" w:rsidRPr="00332211">
        <w:rPr>
          <w:b/>
        </w:rPr>
        <w:t>having a course SPS granularity of e.g. 1 slot, it becomes important to have multiple SPS patterns configured per TSN flow and per BWP</w:t>
      </w:r>
      <w:r w:rsidR="0090699F" w:rsidRPr="00332211">
        <w:rPr>
          <w:b/>
        </w:rPr>
        <w:t xml:space="preserve"> or multiple messages need to be bundled to the same allocation adding unnecessary delay to the system</w:t>
      </w:r>
      <w:r w:rsidR="00823AD9" w:rsidRPr="00332211">
        <w:rPr>
          <w:b/>
        </w:rPr>
        <w:t xml:space="preserve">. </w:t>
      </w:r>
    </w:p>
    <w:p w14:paraId="30E47BE9" w14:textId="73225110" w:rsidR="008358D9" w:rsidRDefault="008358D9" w:rsidP="0027183A">
      <w:r w:rsidRPr="00A93DC2">
        <w:rPr>
          <w:b/>
        </w:rPr>
        <w:t>Proposal</w:t>
      </w:r>
      <w:r w:rsidR="00611BC6">
        <w:rPr>
          <w:b/>
        </w:rPr>
        <w:t xml:space="preserve"> </w:t>
      </w:r>
      <w:r w:rsidR="00582F98">
        <w:rPr>
          <w:b/>
        </w:rPr>
        <w:t>1</w:t>
      </w:r>
      <w:r w:rsidRPr="00A93DC2">
        <w:rPr>
          <w:b/>
        </w:rPr>
        <w:t>:</w:t>
      </w:r>
      <w:r w:rsidRPr="00582F98">
        <w:rPr>
          <w:b/>
        </w:rPr>
        <w:t xml:space="preserve"> </w:t>
      </w:r>
      <w:r w:rsidR="00582F98">
        <w:rPr>
          <w:b/>
        </w:rPr>
        <w:t xml:space="preserve">Agree that it is beneficial to support </w:t>
      </w:r>
      <w:r w:rsidRPr="00332211">
        <w:rPr>
          <w:b/>
        </w:rPr>
        <w:t>sub-slot granularity and resolution for SPS periodicities</w:t>
      </w:r>
      <w:r w:rsidR="00582F98">
        <w:rPr>
          <w:b/>
        </w:rPr>
        <w:t>.</w:t>
      </w:r>
      <w:r w:rsidRPr="00332211">
        <w:rPr>
          <w:b/>
        </w:rPr>
        <w:t xml:space="preserve"> RAN1 should consider any complexity impact</w:t>
      </w:r>
      <w:r w:rsidR="00582F98">
        <w:rPr>
          <w:b/>
        </w:rPr>
        <w:t xml:space="preserve"> in the WI phase</w:t>
      </w:r>
      <w:r w:rsidRPr="00332211">
        <w:rPr>
          <w:b/>
        </w:rPr>
        <w:t>.</w:t>
      </w:r>
    </w:p>
    <w:p w14:paraId="6CC0C625" w14:textId="77777777" w:rsidR="00115433" w:rsidRDefault="00115433" w:rsidP="0027183A"/>
    <w:p w14:paraId="2C1532D1" w14:textId="478B5003" w:rsidR="005542A5" w:rsidRPr="006E13D1" w:rsidRDefault="003B5835" w:rsidP="003B5835">
      <w:pPr>
        <w:pStyle w:val="Heading1"/>
      </w:pPr>
      <w:r>
        <w:t>4</w:t>
      </w:r>
      <w:r>
        <w:tab/>
        <w:t>Multiplexing TSN traffic with eMBB/URLLC</w:t>
      </w:r>
    </w:p>
    <w:p w14:paraId="5524F183" w14:textId="744E7CFD" w:rsidR="00CD4C7B" w:rsidRDefault="00286240" w:rsidP="00CD4C7B">
      <w:r>
        <w:t>In the summary of [</w:t>
      </w:r>
      <w:r w:rsidRPr="00D7302D">
        <w:t>104#36][NR/IIOT]TSN Traffic Patterns</w:t>
      </w:r>
      <w:r>
        <w:t>, majority of companies highlighted that dynamic scheduling efficiency may be impaired in the presence of configured short-period TSN flows and that improvements may be considered in RAN2 and RAN1. Many different solution</w:t>
      </w:r>
      <w:r w:rsidR="00982D2E">
        <w:t xml:space="preserve"> candidates</w:t>
      </w:r>
      <w:r>
        <w:t xml:space="preserve"> </w:t>
      </w:r>
      <w:r w:rsidR="00982D2E">
        <w:t xml:space="preserve">that </w:t>
      </w:r>
      <w:r w:rsidR="00E3312E">
        <w:t>may</w:t>
      </w:r>
      <w:r w:rsidR="00982D2E">
        <w:t xml:space="preserve"> require specification impact </w:t>
      </w:r>
      <w:r>
        <w:t>were highlighted</w:t>
      </w:r>
      <w:r w:rsidR="00982D2E">
        <w:t>:</w:t>
      </w:r>
    </w:p>
    <w:p w14:paraId="74C18068" w14:textId="18D7B505" w:rsidR="00982D2E" w:rsidRDefault="00982D2E" w:rsidP="00982D2E">
      <w:pPr>
        <w:pStyle w:val="ListParagraph"/>
        <w:numPr>
          <w:ilvl w:val="0"/>
          <w:numId w:val="7"/>
        </w:numPr>
      </w:pPr>
      <w:r>
        <w:t>Extended I</w:t>
      </w:r>
      <w:r w:rsidRPr="00982D2E">
        <w:t xml:space="preserve">nter-UE/intra-UE multiplexing/prioritization </w:t>
      </w:r>
      <w:r>
        <w:t xml:space="preserve">mechanisms, including </w:t>
      </w:r>
      <w:r w:rsidRPr="00982D2E">
        <w:t>power-domain multiplexing</w:t>
      </w:r>
      <w:r>
        <w:t>,</w:t>
      </w:r>
      <w:r w:rsidRPr="00982D2E">
        <w:t xml:space="preserve"> UL pre-emption indication</w:t>
      </w:r>
      <w:r>
        <w:t>, etc.</w:t>
      </w:r>
    </w:p>
    <w:p w14:paraId="26482FB9" w14:textId="503549E2" w:rsidR="00982D2E" w:rsidRDefault="00E3312E" w:rsidP="00982D2E">
      <w:pPr>
        <w:pStyle w:val="ListParagraph"/>
        <w:numPr>
          <w:ilvl w:val="0"/>
          <w:numId w:val="7"/>
        </w:numPr>
      </w:pPr>
      <w:r>
        <w:t>Leveraging the a priori information of TSN flows about future pre-emption needs, e.g.</w:t>
      </w:r>
      <w:r w:rsidRPr="00E3312E">
        <w:t xml:space="preserve"> </w:t>
      </w:r>
      <w:r>
        <w:t xml:space="preserve">to optimize allocation of </w:t>
      </w:r>
      <w:r w:rsidRPr="00E3312E">
        <w:t xml:space="preserve">discontinuous resources </w:t>
      </w:r>
      <w:r>
        <w:t xml:space="preserve">around existing </w:t>
      </w:r>
      <w:r w:rsidRPr="00E3312E">
        <w:t>CG/SPS resources to other service or U</w:t>
      </w:r>
      <w:r w:rsidR="003E0043">
        <w:t>E</w:t>
      </w:r>
      <w:r w:rsidRPr="00E3312E">
        <w:t xml:space="preserve">s, </w:t>
      </w:r>
      <w:r>
        <w:t xml:space="preserve">e.g. </w:t>
      </w:r>
      <w:r w:rsidRPr="00E3312E">
        <w:t>with invalid time and/or frequency resources indication to mark the allocated CG/SPS resources.</w:t>
      </w:r>
    </w:p>
    <w:p w14:paraId="54F3A7DE" w14:textId="5F2414F7" w:rsidR="004A6B7A" w:rsidRDefault="004A6B7A" w:rsidP="00982D2E">
      <w:pPr>
        <w:pStyle w:val="ListParagraph"/>
        <w:numPr>
          <w:ilvl w:val="0"/>
          <w:numId w:val="7"/>
        </w:numPr>
      </w:pPr>
      <w:r>
        <w:t>Improvements to p</w:t>
      </w:r>
      <w:r w:rsidRPr="004A6B7A">
        <w:t>re</w:t>
      </w:r>
      <w:r>
        <w:t>-</w:t>
      </w:r>
      <w:r w:rsidRPr="004A6B7A">
        <w:t xml:space="preserve">emption </w:t>
      </w:r>
      <w:r>
        <w:t xml:space="preserve">mechanisms to </w:t>
      </w:r>
      <w:r w:rsidRPr="004A6B7A">
        <w:t>improve scheduling efficiency.</w:t>
      </w:r>
    </w:p>
    <w:p w14:paraId="3B926972" w14:textId="77777777" w:rsidR="00E3312E" w:rsidRDefault="00E3312E" w:rsidP="00982D2E">
      <w:pPr>
        <w:pStyle w:val="ListParagraph"/>
        <w:numPr>
          <w:ilvl w:val="0"/>
          <w:numId w:val="7"/>
        </w:numPr>
      </w:pPr>
      <w:r>
        <w:t xml:space="preserve">Masking </w:t>
      </w:r>
      <w:r w:rsidRPr="00E3312E">
        <w:t>mechanism to use CG/SPS resource</w:t>
      </w:r>
      <w:r>
        <w:t>s</w:t>
      </w:r>
      <w:r w:rsidRPr="00E3312E">
        <w:t xml:space="preserve"> only when there is actual data available for transmission. </w:t>
      </w:r>
    </w:p>
    <w:p w14:paraId="631DD822" w14:textId="30CFB462" w:rsidR="00E3312E" w:rsidRDefault="00E3312E" w:rsidP="00982D2E">
      <w:pPr>
        <w:pStyle w:val="ListParagraph"/>
        <w:numPr>
          <w:ilvl w:val="0"/>
          <w:numId w:val="7"/>
        </w:numPr>
      </w:pPr>
      <w:r w:rsidRPr="00E3312E">
        <w:t>More dynamic and efficient on/off mechanism</w:t>
      </w:r>
      <w:r>
        <w:t>s</w:t>
      </w:r>
      <w:r w:rsidRPr="00E3312E">
        <w:t xml:space="preserve"> for CG/SPS.</w:t>
      </w:r>
    </w:p>
    <w:p w14:paraId="2B47D8B0" w14:textId="252BB5C1" w:rsidR="00E3312E" w:rsidRDefault="00E3312E" w:rsidP="00982D2E">
      <w:pPr>
        <w:pStyle w:val="ListParagraph"/>
        <w:numPr>
          <w:ilvl w:val="0"/>
          <w:numId w:val="7"/>
        </w:numPr>
      </w:pPr>
      <w:r>
        <w:t xml:space="preserve">Mechanism for </w:t>
      </w:r>
      <w:r w:rsidRPr="00E3312E">
        <w:t xml:space="preserve">eMBB data </w:t>
      </w:r>
      <w:r>
        <w:t xml:space="preserve">to </w:t>
      </w:r>
      <w:r w:rsidRPr="00E3312E">
        <w:t xml:space="preserve">use CG/SPS resource originally assigned only for </w:t>
      </w:r>
      <w:r>
        <w:t>TSC/</w:t>
      </w:r>
      <w:r w:rsidRPr="00E3312E">
        <w:t>URLLC, when UE does not have pending URLLC data.</w:t>
      </w:r>
    </w:p>
    <w:p w14:paraId="18E871C0" w14:textId="239BD81D" w:rsidR="00E3312E" w:rsidRDefault="004A6B7A" w:rsidP="00982D2E">
      <w:pPr>
        <w:pStyle w:val="ListParagraph"/>
        <w:numPr>
          <w:ilvl w:val="0"/>
          <w:numId w:val="7"/>
        </w:numPr>
      </w:pPr>
      <w:r w:rsidRPr="004A6B7A">
        <w:t>Traffic switch among BWPs</w:t>
      </w:r>
      <w:r>
        <w:t>.</w:t>
      </w:r>
    </w:p>
    <w:p w14:paraId="4AF42FA2" w14:textId="433DA261" w:rsidR="001656A6" w:rsidRDefault="001656A6" w:rsidP="001656A6">
      <w:r>
        <w:t xml:space="preserve">Most topics require a </w:t>
      </w:r>
      <w:r w:rsidR="009421CB">
        <w:t>study in RAN1</w:t>
      </w:r>
      <w:r w:rsidR="00BC2F81">
        <w:t xml:space="preserve"> in order to investigate the trade-off among performance gain and complexity</w:t>
      </w:r>
      <w:r w:rsidR="009421CB">
        <w:t>.</w:t>
      </w:r>
    </w:p>
    <w:p w14:paraId="2CBE8908" w14:textId="546ECBD9" w:rsidR="004A6B7A" w:rsidRDefault="001656A6" w:rsidP="001656A6">
      <w:r w:rsidRPr="00BC2F81">
        <w:rPr>
          <w:b/>
        </w:rPr>
        <w:t>Observation</w:t>
      </w:r>
      <w:r w:rsidR="009561A3">
        <w:rPr>
          <w:b/>
        </w:rPr>
        <w:t xml:space="preserve"> </w:t>
      </w:r>
      <w:r w:rsidR="00F9456D">
        <w:rPr>
          <w:b/>
        </w:rPr>
        <w:t>7</w:t>
      </w:r>
      <w:r w:rsidRPr="00BC2F81">
        <w:rPr>
          <w:b/>
        </w:rPr>
        <w:t>:</w:t>
      </w:r>
      <w:r w:rsidRPr="003E0043">
        <w:rPr>
          <w:b/>
        </w:rPr>
        <w:t xml:space="preserve"> </w:t>
      </w:r>
      <w:r w:rsidR="00BC2F81" w:rsidRPr="003E0043">
        <w:rPr>
          <w:b/>
        </w:rPr>
        <w:t>It is generally perceived that the presence of fast TSN flows leveraging CG and SPS will impair the performance of other traffic in need of dynamic scheduling, e.g. eMBB, high volume URLLC, etc.</w:t>
      </w:r>
      <w:r w:rsidR="009561A3" w:rsidRPr="003E0043">
        <w:rPr>
          <w:b/>
        </w:rPr>
        <w:t xml:space="preserve"> </w:t>
      </w:r>
      <w:r w:rsidR="00582F98" w:rsidRPr="003E0043">
        <w:rPr>
          <w:b/>
        </w:rPr>
        <w:t>The existing solutions are not able to cope the issue completely</w:t>
      </w:r>
    </w:p>
    <w:p w14:paraId="0C8F952F" w14:textId="40EB32BF" w:rsidR="00286240" w:rsidRPr="003E0043" w:rsidRDefault="009561A3" w:rsidP="00CD4C7B">
      <w:pPr>
        <w:rPr>
          <w:b/>
        </w:rPr>
      </w:pPr>
      <w:r w:rsidRPr="007626AE">
        <w:rPr>
          <w:b/>
        </w:rPr>
        <w:t xml:space="preserve">Proposal </w:t>
      </w:r>
      <w:r w:rsidR="00582F98">
        <w:rPr>
          <w:b/>
        </w:rPr>
        <w:t>2</w:t>
      </w:r>
      <w:r w:rsidRPr="00C56614">
        <w:rPr>
          <w:b/>
        </w:rPr>
        <w:t>:</w:t>
      </w:r>
      <w:r w:rsidRPr="003E0043">
        <w:rPr>
          <w:b/>
        </w:rPr>
        <w:t xml:space="preserve"> </w:t>
      </w:r>
      <w:r w:rsidR="00541E72">
        <w:rPr>
          <w:b/>
        </w:rPr>
        <w:t xml:space="preserve">Study should conclude that </w:t>
      </w:r>
      <w:r w:rsidR="00582F98">
        <w:rPr>
          <w:b/>
        </w:rPr>
        <w:t>further investigat</w:t>
      </w:r>
      <w:r w:rsidR="00541E72">
        <w:rPr>
          <w:b/>
        </w:rPr>
        <w:t>ion of</w:t>
      </w:r>
      <w:r w:rsidR="00582F98">
        <w:rPr>
          <w:b/>
        </w:rPr>
        <w:t xml:space="preserve"> solutions </w:t>
      </w:r>
      <w:r w:rsidR="00541E72">
        <w:rPr>
          <w:b/>
        </w:rPr>
        <w:t>for m</w:t>
      </w:r>
      <w:r w:rsidR="00541E72" w:rsidRPr="00541E72">
        <w:rPr>
          <w:b/>
        </w:rPr>
        <w:t>ultiplexing TSN traffic with eMBB/URLLC</w:t>
      </w:r>
      <w:r w:rsidR="00541E72">
        <w:rPr>
          <w:b/>
        </w:rPr>
        <w:t xml:space="preserve"> is required during WI phase.</w:t>
      </w:r>
    </w:p>
    <w:p w14:paraId="54766DA3" w14:textId="5E58F45C" w:rsidR="003B5835" w:rsidRDefault="003B5835" w:rsidP="00CD4C7B"/>
    <w:p w14:paraId="15A347B7" w14:textId="7A7B25D1" w:rsidR="003B5835" w:rsidRDefault="003B5835" w:rsidP="003B5835">
      <w:pPr>
        <w:pStyle w:val="Heading1"/>
      </w:pPr>
      <w:r>
        <w:t>5</w:t>
      </w:r>
      <w:r>
        <w:tab/>
        <w:t>Leveraging Survival Time in RAN</w:t>
      </w:r>
    </w:p>
    <w:p w14:paraId="71890E8B" w14:textId="38037610" w:rsidR="0073226E" w:rsidRDefault="00A75307" w:rsidP="00683A5B">
      <w:r>
        <w:t xml:space="preserve">Survival Time is a used characteristic in industrial automation. </w:t>
      </w:r>
      <w:r w:rsidR="00457941">
        <w:t xml:space="preserve">Survival </w:t>
      </w:r>
      <w:r>
        <w:t xml:space="preserve">Time is defined in </w:t>
      </w:r>
      <w:r w:rsidR="000455B6">
        <w:t>TS22.104</w:t>
      </w:r>
      <w:r>
        <w:t xml:space="preserve"> as </w:t>
      </w:r>
      <w:r w:rsidR="007E6638">
        <w:t>how long the system can survive without getting a message</w:t>
      </w:r>
      <w:r w:rsidR="00457941">
        <w:t xml:space="preserve">. </w:t>
      </w:r>
      <w:r w:rsidR="00FF1947">
        <w:t xml:space="preserve">A typical requirement in </w:t>
      </w:r>
      <w:r w:rsidR="007E6638">
        <w:t xml:space="preserve">TS22.104 </w:t>
      </w:r>
      <w:r w:rsidR="00FF1947">
        <w:t xml:space="preserve">is a Survival Time of one Transmission Period (or cycle) which means that a single lost message does not cause a critical error but two consecutive lost messages do. </w:t>
      </w:r>
      <w:r w:rsidR="00D7302D">
        <w:t>In the summary of [</w:t>
      </w:r>
      <w:r w:rsidR="00D7302D" w:rsidRPr="00D7302D">
        <w:t>104#36][NR/IIOT]TSN Traffic Patterns</w:t>
      </w:r>
      <w:r w:rsidR="00D7302D">
        <w:t>, several companies indicated that Survival Time may be relevant information for the RAN to optimize a TSN flow and the system.</w:t>
      </w:r>
      <w:r w:rsidR="00683A5B">
        <w:t xml:space="preserve"> There are a couple of ways where </w:t>
      </w:r>
      <w:r w:rsidR="00FF1947">
        <w:t>Survival Time could be relevant to know in order to optimize the RAN. There are at least t</w:t>
      </w:r>
      <w:r w:rsidR="00683A5B">
        <w:t>wo</w:t>
      </w:r>
      <w:r w:rsidR="00FF1947">
        <w:t xml:space="preserve"> </w:t>
      </w:r>
      <w:r w:rsidR="00C56614">
        <w:t>ways</w:t>
      </w:r>
      <w:r w:rsidR="00FF1947">
        <w:t xml:space="preserve"> </w:t>
      </w:r>
      <w:r w:rsidR="00C56614">
        <w:t xml:space="preserve">of exploiting </w:t>
      </w:r>
      <w:r w:rsidR="00FF1947">
        <w:t>Survival Time</w:t>
      </w:r>
      <w:r w:rsidR="00C56614">
        <w:t>:</w:t>
      </w:r>
    </w:p>
    <w:p w14:paraId="1594D98B" w14:textId="49E33FC3" w:rsidR="007D5E73" w:rsidRDefault="00C56614" w:rsidP="007D5E73">
      <w:pPr>
        <w:pStyle w:val="ListParagraph"/>
        <w:numPr>
          <w:ilvl w:val="0"/>
          <w:numId w:val="7"/>
        </w:numPr>
      </w:pPr>
      <w:r>
        <w:t>To boost reliability</w:t>
      </w:r>
      <w:r w:rsidR="00FC409E">
        <w:t>:</w:t>
      </w:r>
      <w:r w:rsidR="00FF1947">
        <w:t xml:space="preserve"> E.g. if one message fails and Survival Time is configured, the system</w:t>
      </w:r>
      <w:r w:rsidR="002E03D2">
        <w:t xml:space="preserve"> may set more resources to ensure the following message’s reliability (e.g. leverage additional diversity mechanisms</w:t>
      </w:r>
      <w:r w:rsidR="007D5E73">
        <w:t xml:space="preserve"> such as multi-connectivity packet switching</w:t>
      </w:r>
      <w:r w:rsidR="002E03D2">
        <w:t>, more robust coding/modulation with additional resources, etc.).</w:t>
      </w:r>
    </w:p>
    <w:p w14:paraId="6E4772D2" w14:textId="49A8D726" w:rsidR="003B5835" w:rsidRDefault="00C56614" w:rsidP="00E77577">
      <w:pPr>
        <w:pStyle w:val="ListParagraph"/>
        <w:numPr>
          <w:ilvl w:val="0"/>
          <w:numId w:val="7"/>
        </w:numPr>
      </w:pPr>
      <w:r>
        <w:t>To boost s</w:t>
      </w:r>
      <w:r w:rsidR="0073226E">
        <w:t>pectral efficiency</w:t>
      </w:r>
      <w:r w:rsidR="00FC409E">
        <w:t xml:space="preserve">: </w:t>
      </w:r>
      <w:r w:rsidR="007D5E73">
        <w:t xml:space="preserve">In principle, the system may relax the per-message </w:t>
      </w:r>
      <w:r w:rsidR="004711BF">
        <w:t>PER</w:t>
      </w:r>
      <w:r w:rsidR="007D5E73">
        <w:t xml:space="preserve"> requirement considering Survival Time</w:t>
      </w:r>
      <w:r w:rsidR="00223215">
        <w:t xml:space="preserve"> </w:t>
      </w:r>
      <w:r w:rsidR="004711BF">
        <w:t xml:space="preserve">provided that a certain critical PER rate (e.g. 1E-6) applies to failures where no packet is delivered within the Survival Time. </w:t>
      </w:r>
      <w:r w:rsidR="00223215">
        <w:t>This allows for more spectrally efficient scheduling of users provided that successive transmission errors are sufficiently uncorrelated.</w:t>
      </w:r>
    </w:p>
    <w:p w14:paraId="02D1EF5F" w14:textId="1EA16568" w:rsidR="0073226E" w:rsidRDefault="004A213F" w:rsidP="00CD4C7B">
      <w:r>
        <w:t>To estimate the spectral efficiency gain of leveraging Survival Time</w:t>
      </w:r>
      <w:r w:rsidR="00494013">
        <w:t xml:space="preserve"> provided that successive transmissions can be made uncorrelated</w:t>
      </w:r>
      <w:r>
        <w:t xml:space="preserve">, the example in </w:t>
      </w:r>
      <w:r w:rsidR="008F68F4">
        <w:fldChar w:fldCharType="begin"/>
      </w:r>
      <w:r w:rsidR="008F68F4">
        <w:instrText xml:space="preserve"> REF _Ref936965 \h </w:instrText>
      </w:r>
      <w:r w:rsidR="008F68F4">
        <w:fldChar w:fldCharType="separate"/>
      </w:r>
      <w:r w:rsidR="008F68F4">
        <w:t xml:space="preserve">Figure </w:t>
      </w:r>
      <w:r w:rsidR="008F68F4">
        <w:rPr>
          <w:noProof/>
        </w:rPr>
        <w:t>6</w:t>
      </w:r>
      <w:r w:rsidR="008F68F4">
        <w:fldChar w:fldCharType="end"/>
      </w:r>
      <w:r w:rsidR="00EB2A8C">
        <w:t xml:space="preserve"> and summarized in </w:t>
      </w:r>
      <w:r w:rsidR="00EB2A8C">
        <w:fldChar w:fldCharType="begin"/>
      </w:r>
      <w:r w:rsidR="00EB2A8C">
        <w:instrText xml:space="preserve"> REF _Ref937713 \h </w:instrText>
      </w:r>
      <w:r w:rsidR="00EB2A8C">
        <w:fldChar w:fldCharType="separate"/>
      </w:r>
      <w:r w:rsidR="00EB2A8C">
        <w:t xml:space="preserve">Table </w:t>
      </w:r>
      <w:r w:rsidR="00EB2A8C">
        <w:rPr>
          <w:noProof/>
        </w:rPr>
        <w:t>1</w:t>
      </w:r>
      <w:r w:rsidR="00EB2A8C">
        <w:fldChar w:fldCharType="end"/>
      </w:r>
      <w:r w:rsidR="00C56614">
        <w:t xml:space="preserve"> can be considered</w:t>
      </w:r>
      <w:r w:rsidR="008F68F4">
        <w:t xml:space="preserve">. </w:t>
      </w:r>
      <w:r w:rsidR="0026666F">
        <w:t xml:space="preserve">The figure shows the relation between SINR and </w:t>
      </w:r>
      <w:r w:rsidR="004711BF">
        <w:t>PER</w:t>
      </w:r>
      <w:r w:rsidR="0026666F">
        <w:t xml:space="preserve"> </w:t>
      </w:r>
      <w:r w:rsidR="00D83C9C">
        <w:t xml:space="preserve">(marked as BLEP in figure) </w:t>
      </w:r>
      <w:r w:rsidR="0026666F">
        <w:t xml:space="preserve">for different modulation schemes. </w:t>
      </w:r>
      <w:r w:rsidR="00C56614">
        <w:t xml:space="preserve">Assumption is made that </w:t>
      </w:r>
      <w:r w:rsidR="0026666F">
        <w:t xml:space="preserve">there is a service defined with a </w:t>
      </w:r>
      <w:r w:rsidR="00D83C9C">
        <w:t xml:space="preserve">PER </w:t>
      </w:r>
      <w:r w:rsidR="0026666F">
        <w:t xml:space="preserve">of 1E-6 but a Survival Time of 1 period. Knowing the Survival Time, and assuming that </w:t>
      </w:r>
      <w:r w:rsidR="004711BF">
        <w:t>a specified Critical Error PER</w:t>
      </w:r>
      <w:r w:rsidR="0026666F">
        <w:t xml:space="preserve"> relates to critical error probability, the per-message </w:t>
      </w:r>
      <w:r w:rsidR="004711BF">
        <w:t>PER</w:t>
      </w:r>
      <w:r w:rsidR="0026666F">
        <w:t xml:space="preserve"> can ideally be reduced to 1E-3 (e.g. probability of two successive errors failing is then 1E-6) assuming perfectly uncorrelated errors of two successive transmissions</w:t>
      </w:r>
      <w:r w:rsidR="008C6154">
        <w:t xml:space="preserve"> (e.g. upper bound estimation of spectral efficiency or SE gain</w:t>
      </w:r>
      <w:r w:rsidR="00262E19">
        <w:t>)</w:t>
      </w:r>
      <w:r w:rsidR="0026666F">
        <w:t>. For the same SINR, th</w:t>
      </w:r>
      <w:r w:rsidR="00847669">
        <w:t>is</w:t>
      </w:r>
      <w:r w:rsidR="0026666F">
        <w:t xml:space="preserve"> enables the system to increase its modulation and coding rate from QPSK 1/3 to approximately QPSK 4/9, achieving a spectral efficiency gain for the user by ~33%. </w:t>
      </w:r>
      <w:r w:rsidR="004C7810">
        <w:t xml:space="preserve">Similarly, if a Survival Time of 2 periods (e.g. critical error only when 3 successive transmission fail), the performance can be increased further </w:t>
      </w:r>
      <w:r w:rsidR="000E4CD7">
        <w:t xml:space="preserve">by ~51%. </w:t>
      </w:r>
    </w:p>
    <w:p w14:paraId="7488B6AC" w14:textId="4C32C269" w:rsidR="00FD2B74" w:rsidRDefault="008F68F4" w:rsidP="00D75E92">
      <w:pPr>
        <w:jc w:val="center"/>
      </w:pPr>
      <w:r>
        <w:rPr>
          <w:noProof/>
        </w:rPr>
        <mc:AlternateContent>
          <mc:Choice Requires="wps">
            <w:drawing>
              <wp:anchor distT="0" distB="0" distL="114300" distR="114300" simplePos="0" relativeHeight="251658245" behindDoc="0" locked="0" layoutInCell="1" allowOverlap="1" wp14:anchorId="4D6A4843" wp14:editId="7C24D3A1">
                <wp:simplePos x="0" y="0"/>
                <wp:positionH relativeFrom="column">
                  <wp:posOffset>0</wp:posOffset>
                </wp:positionH>
                <wp:positionV relativeFrom="paragraph">
                  <wp:posOffset>4076065</wp:posOffset>
                </wp:positionV>
                <wp:extent cx="4165600" cy="635"/>
                <wp:effectExtent l="0" t="0" r="0" b="0"/>
                <wp:wrapTopAndBottom/>
                <wp:docPr id="11" name="Text Box 11"/>
                <wp:cNvGraphicFramePr/>
                <a:graphic xmlns:a="http://schemas.openxmlformats.org/drawingml/2006/main">
                  <a:graphicData uri="http://schemas.microsoft.com/office/word/2010/wordprocessingShape">
                    <wps:wsp>
                      <wps:cNvSpPr txBox="1"/>
                      <wps:spPr>
                        <a:xfrm>
                          <a:off x="0" y="0"/>
                          <a:ext cx="4165600" cy="635"/>
                        </a:xfrm>
                        <a:prstGeom prst="rect">
                          <a:avLst/>
                        </a:prstGeom>
                        <a:solidFill>
                          <a:prstClr val="white"/>
                        </a:solidFill>
                        <a:ln>
                          <a:noFill/>
                        </a:ln>
                      </wps:spPr>
                      <wps:txbx>
                        <w:txbxContent>
                          <w:p w14:paraId="7A48125A" w14:textId="27A072B5" w:rsidR="00375B2F" w:rsidRPr="006B27A4" w:rsidRDefault="00375B2F" w:rsidP="008F68F4">
                            <w:pPr>
                              <w:pStyle w:val="Caption"/>
                              <w:rPr>
                                <w:sz w:val="20"/>
                                <w:szCs w:val="20"/>
                              </w:rPr>
                            </w:pPr>
                            <w:bookmarkStart w:id="5" w:name="_Ref936965"/>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bookmarkEnd w:id="5"/>
                            <w:r>
                              <w:t>. Relation between BLEP (PER) and SINR for different modulation and coding schemes.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6A4843" id="Text Box 11" o:spid="_x0000_s1028" type="#_x0000_t202" style="position:absolute;left:0;text-align:left;margin-left:0;margin-top:320.95pt;width:328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" stroked="f">
                <v:textbox style="mso-fit-shape-to-text:t" inset="0,0,0,0">
                  <w:txbxContent>
                    <w:p w14:paraId="7A48125A" w14:textId="27A072B5" w:rsidR="00375B2F" w:rsidRPr="006B27A4" w:rsidRDefault="00375B2F" w:rsidP="008F68F4">
                      <w:pPr>
                        <w:pStyle w:val="Caption"/>
                        <w:rPr>
                          <w:sz w:val="20"/>
                          <w:szCs w:val="20"/>
                        </w:rPr>
                      </w:pPr>
                      <w:bookmarkStart w:id="6" w:name="_Ref936965"/>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bookmarkEnd w:id="6"/>
                      <w:r>
                        <w:t>. Relation between BLEP (PER) and SINR for different modulation and coding schemes.</w:t>
                      </w:r>
                    </w:p>
                  </w:txbxContent>
                </v:textbox>
                <w10:wrap type="topAndBottom"/>
              </v:shape>
            </w:pict>
          </mc:Fallback>
        </mc:AlternateContent>
      </w:r>
      <w:r w:rsidRPr="008F68F4">
        <w:rPr>
          <w:noProof/>
        </w:rPr>
        <w:drawing>
          <wp:anchor distT="0" distB="0" distL="114300" distR="114300" simplePos="0" relativeHeight="251658244" behindDoc="0" locked="0" layoutInCell="1" allowOverlap="1" wp14:anchorId="27B6F14F" wp14:editId="6FBB9B78">
            <wp:simplePos x="0" y="0"/>
            <wp:positionH relativeFrom="column">
              <wp:posOffset>0</wp:posOffset>
            </wp:positionH>
            <wp:positionV relativeFrom="paragraph">
              <wp:posOffset>259715</wp:posOffset>
            </wp:positionV>
            <wp:extent cx="4165600" cy="375920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5600" cy="375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E361E0" w14:textId="63E26EC9" w:rsidR="00FD2B74" w:rsidRDefault="00FD2B74" w:rsidP="00CD4C7B"/>
    <w:p w14:paraId="108FEC47" w14:textId="36A00110" w:rsidR="00EB2A8C" w:rsidRDefault="00EB2A8C" w:rsidP="00EB2A8C">
      <w:pPr>
        <w:pStyle w:val="Caption"/>
        <w:keepNext/>
      </w:pPr>
      <w:bookmarkStart w:id="7" w:name="_Ref937713"/>
      <w:r>
        <w:t xml:space="preserve">Table </w:t>
      </w:r>
      <w:r w:rsidR="00C802DB">
        <w:rPr>
          <w:noProof/>
        </w:rPr>
        <w:fldChar w:fldCharType="begin"/>
      </w:r>
      <w:r w:rsidR="00C802DB">
        <w:rPr>
          <w:noProof/>
        </w:rPr>
        <w:instrText xml:space="preserve"> SEQ Table \* ARABIC </w:instrText>
      </w:r>
      <w:r w:rsidR="00C802DB">
        <w:rPr>
          <w:noProof/>
        </w:rPr>
        <w:fldChar w:fldCharType="separate"/>
      </w:r>
      <w:r>
        <w:rPr>
          <w:noProof/>
        </w:rPr>
        <w:t>1</w:t>
      </w:r>
      <w:r w:rsidR="00C802DB">
        <w:rPr>
          <w:noProof/>
        </w:rPr>
        <w:fldChar w:fldCharType="end"/>
      </w:r>
      <w:bookmarkEnd w:id="7"/>
      <w:r>
        <w:t>. Simplistic upper bound SE gain of leveraging Survival Time</w:t>
      </w:r>
    </w:p>
    <w:tbl>
      <w:tblPr>
        <w:tblStyle w:val="TableGrid"/>
        <w:tblW w:w="6941" w:type="dxa"/>
        <w:tblLook w:val="0420" w:firstRow="1" w:lastRow="0" w:firstColumn="0" w:lastColumn="0" w:noHBand="0" w:noVBand="1"/>
      </w:tblPr>
      <w:tblGrid>
        <w:gridCol w:w="1926"/>
        <w:gridCol w:w="1613"/>
        <w:gridCol w:w="1843"/>
        <w:gridCol w:w="1559"/>
      </w:tblGrid>
      <w:tr w:rsidR="000E4CD7" w:rsidRPr="000E4CD7" w14:paraId="6490F947" w14:textId="77777777" w:rsidTr="000E4CD7">
        <w:trPr>
          <w:trHeight w:val="584"/>
        </w:trPr>
        <w:tc>
          <w:tcPr>
            <w:tcW w:w="1926" w:type="dxa"/>
            <w:hideMark/>
          </w:tcPr>
          <w:p w14:paraId="0B9295DE" w14:textId="424D4A77" w:rsidR="000E4CD7" w:rsidRPr="000E4CD7" w:rsidRDefault="000E4CD7" w:rsidP="000E4CD7">
            <w:pPr>
              <w:rPr>
                <w:lang w:val="en-US"/>
              </w:rPr>
            </w:pPr>
            <w:r w:rsidRPr="000E4CD7">
              <w:rPr>
                <w:b/>
                <w:bCs/>
                <w:lang w:val="en-US"/>
              </w:rPr>
              <w:t xml:space="preserve">Critical error </w:t>
            </w:r>
            <w:r w:rsidR="004711BF">
              <w:rPr>
                <w:b/>
                <w:bCs/>
                <w:lang w:val="en-US"/>
              </w:rPr>
              <w:t>PER</w:t>
            </w:r>
          </w:p>
        </w:tc>
        <w:tc>
          <w:tcPr>
            <w:tcW w:w="1613" w:type="dxa"/>
            <w:hideMark/>
          </w:tcPr>
          <w:p w14:paraId="118C2AE3" w14:textId="77777777" w:rsidR="000E4CD7" w:rsidRPr="000E4CD7" w:rsidRDefault="000E4CD7" w:rsidP="000E4CD7">
            <w:pPr>
              <w:rPr>
                <w:lang w:val="en-US"/>
              </w:rPr>
            </w:pPr>
            <w:r w:rsidRPr="000E4CD7">
              <w:rPr>
                <w:b/>
                <w:bCs/>
                <w:lang w:val="en-US"/>
              </w:rPr>
              <w:t>Survival time (#Cycles)</w:t>
            </w:r>
          </w:p>
        </w:tc>
        <w:tc>
          <w:tcPr>
            <w:tcW w:w="1843" w:type="dxa"/>
            <w:hideMark/>
          </w:tcPr>
          <w:p w14:paraId="4955F3A5" w14:textId="2A2E96C4" w:rsidR="000E4CD7" w:rsidRPr="000E4CD7" w:rsidRDefault="000E4CD7" w:rsidP="000E4CD7">
            <w:pPr>
              <w:rPr>
                <w:lang w:val="en-US"/>
              </w:rPr>
            </w:pPr>
            <w:r w:rsidRPr="000E4CD7">
              <w:rPr>
                <w:b/>
                <w:bCs/>
                <w:lang w:val="en-US"/>
              </w:rPr>
              <w:t xml:space="preserve">Best-case per-packet </w:t>
            </w:r>
            <w:r w:rsidR="004711BF">
              <w:rPr>
                <w:b/>
                <w:bCs/>
                <w:lang w:val="en-US"/>
              </w:rPr>
              <w:t>PER</w:t>
            </w:r>
          </w:p>
        </w:tc>
        <w:tc>
          <w:tcPr>
            <w:tcW w:w="1559" w:type="dxa"/>
            <w:hideMark/>
          </w:tcPr>
          <w:p w14:paraId="0170EF17" w14:textId="77777777" w:rsidR="000E4CD7" w:rsidRPr="000E4CD7" w:rsidRDefault="000E4CD7" w:rsidP="000E4CD7">
            <w:pPr>
              <w:rPr>
                <w:lang w:val="en-US"/>
              </w:rPr>
            </w:pPr>
            <w:r w:rsidRPr="000E4CD7">
              <w:rPr>
                <w:b/>
                <w:bCs/>
                <w:lang w:val="en-US"/>
              </w:rPr>
              <w:t>SE upper bound gain*</w:t>
            </w:r>
          </w:p>
        </w:tc>
      </w:tr>
      <w:tr w:rsidR="000E4CD7" w:rsidRPr="000E4CD7" w14:paraId="4F163EA8" w14:textId="77777777" w:rsidTr="000E4CD7">
        <w:trPr>
          <w:trHeight w:val="113"/>
        </w:trPr>
        <w:tc>
          <w:tcPr>
            <w:tcW w:w="1926" w:type="dxa"/>
            <w:hideMark/>
          </w:tcPr>
          <w:p w14:paraId="28B81447" w14:textId="77777777" w:rsidR="000E4CD7" w:rsidRPr="000E4CD7" w:rsidRDefault="000E4CD7" w:rsidP="000E4CD7">
            <w:pPr>
              <w:rPr>
                <w:lang w:val="en-US"/>
              </w:rPr>
            </w:pPr>
            <w:r w:rsidRPr="000E4CD7">
              <w:rPr>
                <w:lang w:val="en-US"/>
              </w:rPr>
              <w:t>1E-6</w:t>
            </w:r>
          </w:p>
        </w:tc>
        <w:tc>
          <w:tcPr>
            <w:tcW w:w="1613" w:type="dxa"/>
            <w:hideMark/>
          </w:tcPr>
          <w:p w14:paraId="38EEB3EC" w14:textId="77777777" w:rsidR="000E4CD7" w:rsidRPr="000E4CD7" w:rsidRDefault="000E4CD7" w:rsidP="000E4CD7">
            <w:pPr>
              <w:rPr>
                <w:lang w:val="en-US"/>
              </w:rPr>
            </w:pPr>
            <w:r w:rsidRPr="000E4CD7">
              <w:rPr>
                <w:lang w:val="en-US"/>
              </w:rPr>
              <w:t>1</w:t>
            </w:r>
          </w:p>
        </w:tc>
        <w:tc>
          <w:tcPr>
            <w:tcW w:w="1843" w:type="dxa"/>
            <w:hideMark/>
          </w:tcPr>
          <w:p w14:paraId="38792D31" w14:textId="77777777" w:rsidR="000E4CD7" w:rsidRPr="000E4CD7" w:rsidRDefault="000E4CD7" w:rsidP="000E4CD7">
            <w:pPr>
              <w:rPr>
                <w:lang w:val="en-US"/>
              </w:rPr>
            </w:pPr>
            <w:r w:rsidRPr="000E4CD7">
              <w:rPr>
                <w:lang w:val="en-US"/>
              </w:rPr>
              <w:t>1E-3</w:t>
            </w:r>
          </w:p>
        </w:tc>
        <w:tc>
          <w:tcPr>
            <w:tcW w:w="1559" w:type="dxa"/>
            <w:hideMark/>
          </w:tcPr>
          <w:p w14:paraId="1BC77D15" w14:textId="77777777" w:rsidR="000E4CD7" w:rsidRPr="000E4CD7" w:rsidRDefault="000E4CD7" w:rsidP="000E4CD7">
            <w:pPr>
              <w:rPr>
                <w:lang w:val="en-US"/>
              </w:rPr>
            </w:pPr>
            <w:r w:rsidRPr="000E4CD7">
              <w:rPr>
                <w:lang w:val="en-US"/>
              </w:rPr>
              <w:t>~33%</w:t>
            </w:r>
          </w:p>
        </w:tc>
      </w:tr>
      <w:tr w:rsidR="000E4CD7" w:rsidRPr="000E4CD7" w14:paraId="347CF661" w14:textId="77777777" w:rsidTr="000E4CD7">
        <w:trPr>
          <w:trHeight w:val="50"/>
        </w:trPr>
        <w:tc>
          <w:tcPr>
            <w:tcW w:w="1926" w:type="dxa"/>
            <w:hideMark/>
          </w:tcPr>
          <w:p w14:paraId="236E9D6E" w14:textId="77777777" w:rsidR="000E4CD7" w:rsidRPr="000E4CD7" w:rsidRDefault="000E4CD7" w:rsidP="000E4CD7">
            <w:pPr>
              <w:rPr>
                <w:lang w:val="en-US"/>
              </w:rPr>
            </w:pPr>
            <w:r w:rsidRPr="000E4CD7">
              <w:rPr>
                <w:lang w:val="en-US"/>
              </w:rPr>
              <w:t>1E-6</w:t>
            </w:r>
          </w:p>
        </w:tc>
        <w:tc>
          <w:tcPr>
            <w:tcW w:w="1613" w:type="dxa"/>
            <w:hideMark/>
          </w:tcPr>
          <w:p w14:paraId="659A5C1A" w14:textId="77777777" w:rsidR="000E4CD7" w:rsidRPr="000E4CD7" w:rsidRDefault="000E4CD7" w:rsidP="000E4CD7">
            <w:pPr>
              <w:rPr>
                <w:lang w:val="en-US"/>
              </w:rPr>
            </w:pPr>
            <w:r w:rsidRPr="000E4CD7">
              <w:rPr>
                <w:lang w:val="en-US"/>
              </w:rPr>
              <w:t>2</w:t>
            </w:r>
          </w:p>
        </w:tc>
        <w:tc>
          <w:tcPr>
            <w:tcW w:w="1843" w:type="dxa"/>
            <w:hideMark/>
          </w:tcPr>
          <w:p w14:paraId="6DCC34CC" w14:textId="77777777" w:rsidR="000E4CD7" w:rsidRPr="000E4CD7" w:rsidRDefault="000E4CD7" w:rsidP="000E4CD7">
            <w:pPr>
              <w:rPr>
                <w:lang w:val="en-US"/>
              </w:rPr>
            </w:pPr>
            <w:r w:rsidRPr="000E4CD7">
              <w:rPr>
                <w:lang w:val="en-US"/>
              </w:rPr>
              <w:t>1E-2</w:t>
            </w:r>
          </w:p>
        </w:tc>
        <w:tc>
          <w:tcPr>
            <w:tcW w:w="1559" w:type="dxa"/>
            <w:hideMark/>
          </w:tcPr>
          <w:p w14:paraId="4E1270C4" w14:textId="77777777" w:rsidR="000E4CD7" w:rsidRPr="000E4CD7" w:rsidRDefault="000E4CD7" w:rsidP="000E4CD7">
            <w:pPr>
              <w:rPr>
                <w:lang w:val="en-US"/>
              </w:rPr>
            </w:pPr>
            <w:r w:rsidRPr="000E4CD7">
              <w:rPr>
                <w:lang w:val="en-US"/>
              </w:rPr>
              <w:t>~51%</w:t>
            </w:r>
          </w:p>
        </w:tc>
      </w:tr>
    </w:tbl>
    <w:p w14:paraId="078CAC43" w14:textId="77777777" w:rsidR="000E4CD7" w:rsidRDefault="000E4CD7" w:rsidP="00CD4C7B"/>
    <w:p w14:paraId="124E9B0A" w14:textId="12DCA338" w:rsidR="00262E19" w:rsidRDefault="00262E19" w:rsidP="00CD4C7B">
      <w:r>
        <w:t>I</w:t>
      </w:r>
      <w:r w:rsidR="005D7031">
        <w:t>n</w:t>
      </w:r>
      <w:r>
        <w:t xml:space="preserve"> </w:t>
      </w:r>
      <w:r w:rsidR="00A65B21">
        <w:t xml:space="preserve">practice, the automation system may still prefer that individual messages are delivered at a certain </w:t>
      </w:r>
      <w:r w:rsidR="004711BF">
        <w:t xml:space="preserve">PER </w:t>
      </w:r>
      <w:r w:rsidR="00A65B21">
        <w:t>as well that is higher than what would be reflected after Survival Time. E.g. a motion control system may have a certain message rate that yields a very smooth operation. Losing every second message may still not trigger a critical even</w:t>
      </w:r>
      <w:r w:rsidR="00546F63">
        <w:t>t</w:t>
      </w:r>
      <w:r w:rsidR="00A65B21">
        <w:t xml:space="preserve"> but may lead to slightly more jagged movements and thus worse production quality as a result. Hence, it may be necessary that both a per-message </w:t>
      </w:r>
      <w:r w:rsidR="007E6638">
        <w:t xml:space="preserve">PER (as in the QoS solution today) </w:t>
      </w:r>
      <w:r w:rsidR="00A65B21">
        <w:t xml:space="preserve">and a </w:t>
      </w:r>
      <w:r w:rsidR="007E6638">
        <w:t>Critical Error PER</w:t>
      </w:r>
      <w:r w:rsidR="00A65B21">
        <w:t xml:space="preserve"> after Survival Time are specified separately in order for the RAN to know how </w:t>
      </w:r>
      <w:r w:rsidR="004711BF">
        <w:t xml:space="preserve">it is able </w:t>
      </w:r>
      <w:r w:rsidR="00A65B21">
        <w:t>to exploit the information while still ensuring best possible operation of the industrial system.</w:t>
      </w:r>
    </w:p>
    <w:p w14:paraId="0A25BA82" w14:textId="06A7CF4B" w:rsidR="00D96B9F" w:rsidRPr="000C307A" w:rsidRDefault="00D96B9F" w:rsidP="00CD4C7B">
      <w:pPr>
        <w:rPr>
          <w:b/>
        </w:rPr>
      </w:pPr>
      <w:r w:rsidRPr="00C56614">
        <w:rPr>
          <w:b/>
        </w:rPr>
        <w:t>Observation</w:t>
      </w:r>
      <w:r w:rsidR="00611BC6" w:rsidRPr="00C56614">
        <w:rPr>
          <w:b/>
        </w:rPr>
        <w:t xml:space="preserve"> </w:t>
      </w:r>
      <w:r w:rsidR="00F9456D">
        <w:rPr>
          <w:b/>
        </w:rPr>
        <w:t>8</w:t>
      </w:r>
      <w:r w:rsidR="0073226E" w:rsidRPr="00C56614">
        <w:rPr>
          <w:b/>
        </w:rPr>
        <w:t>:</w:t>
      </w:r>
      <w:r w:rsidR="0073226E" w:rsidRPr="00B305F8">
        <w:rPr>
          <w:b/>
        </w:rPr>
        <w:t xml:space="preserve"> Knowledge of Survival Time </w:t>
      </w:r>
      <w:r w:rsidR="007E4C8D" w:rsidRPr="00B305F8">
        <w:rPr>
          <w:b/>
        </w:rPr>
        <w:t xml:space="preserve">in the RAN </w:t>
      </w:r>
      <w:r w:rsidR="005D7031" w:rsidRPr="00B305F8">
        <w:rPr>
          <w:b/>
        </w:rPr>
        <w:t xml:space="preserve">can be </w:t>
      </w:r>
      <w:r w:rsidR="0008321D" w:rsidRPr="00B305F8">
        <w:rPr>
          <w:b/>
        </w:rPr>
        <w:t>used to optimize reliability and</w:t>
      </w:r>
      <w:r w:rsidR="007E4C8D" w:rsidRPr="00B305F8">
        <w:rPr>
          <w:b/>
        </w:rPr>
        <w:t>/or</w:t>
      </w:r>
      <w:r w:rsidR="0008321D" w:rsidRPr="00B305F8">
        <w:rPr>
          <w:b/>
        </w:rPr>
        <w:t xml:space="preserve"> increase system and link efficiency. </w:t>
      </w:r>
      <w:r w:rsidR="0008321D" w:rsidRPr="00B305F8">
        <w:rPr>
          <w:b/>
        </w:rPr>
        <w:t xml:space="preserve">In order to </w:t>
      </w:r>
      <w:r w:rsidR="00B03111" w:rsidRPr="00B305F8">
        <w:rPr>
          <w:b/>
        </w:rPr>
        <w:t xml:space="preserve">enable the application provider to tune the importance of single messages versus critical error, it may be considered to add </w:t>
      </w:r>
      <w:r w:rsidR="007E6638">
        <w:rPr>
          <w:b/>
        </w:rPr>
        <w:t xml:space="preserve">an additional </w:t>
      </w:r>
      <w:r w:rsidR="00312911">
        <w:rPr>
          <w:b/>
        </w:rPr>
        <w:t>“</w:t>
      </w:r>
      <w:r w:rsidR="007E6638">
        <w:rPr>
          <w:b/>
        </w:rPr>
        <w:t>Critical Error PER</w:t>
      </w:r>
      <w:r w:rsidR="00312911">
        <w:rPr>
          <w:b/>
        </w:rPr>
        <w:t>”</w:t>
      </w:r>
      <w:r w:rsidR="007E6638">
        <w:rPr>
          <w:b/>
        </w:rPr>
        <w:t xml:space="preserve"> parameter that relates to Survival Time being exceeded without a successful message delivered</w:t>
      </w:r>
      <w:r w:rsidRPr="000C307A">
        <w:rPr>
          <w:b/>
        </w:rPr>
        <w:t>.</w:t>
      </w:r>
    </w:p>
    <w:p w14:paraId="31537E19" w14:textId="3ADF9D2E" w:rsidR="0073226E" w:rsidRPr="000C307A" w:rsidRDefault="00D96B9F" w:rsidP="00A230E6">
      <w:pPr>
        <w:rPr>
          <w:b/>
        </w:rPr>
      </w:pPr>
      <w:r w:rsidRPr="00C56614">
        <w:rPr>
          <w:b/>
        </w:rPr>
        <w:t>Proposal</w:t>
      </w:r>
      <w:r w:rsidR="00611BC6" w:rsidRPr="00C56614">
        <w:rPr>
          <w:b/>
        </w:rPr>
        <w:t xml:space="preserve"> </w:t>
      </w:r>
      <w:r w:rsidR="00C56614">
        <w:rPr>
          <w:b/>
        </w:rPr>
        <w:t>3</w:t>
      </w:r>
      <w:r w:rsidRPr="00C56614">
        <w:rPr>
          <w:b/>
        </w:rPr>
        <w:t>:</w:t>
      </w:r>
      <w:r w:rsidR="00611BC6" w:rsidRPr="000C307A">
        <w:rPr>
          <w:b/>
        </w:rPr>
        <w:t xml:space="preserve"> </w:t>
      </w:r>
      <w:r w:rsidR="00CE212F">
        <w:rPr>
          <w:b/>
        </w:rPr>
        <w:t xml:space="preserve">RAN2 should indicate to SA2 that knowledge about </w:t>
      </w:r>
      <w:r w:rsidR="007E6638">
        <w:rPr>
          <w:b/>
        </w:rPr>
        <w:t>S</w:t>
      </w:r>
      <w:r w:rsidR="00A230E6" w:rsidRPr="000C307A">
        <w:rPr>
          <w:b/>
        </w:rPr>
        <w:t xml:space="preserve">urvival Time </w:t>
      </w:r>
      <w:r w:rsidR="00CE212F">
        <w:rPr>
          <w:b/>
        </w:rPr>
        <w:t xml:space="preserve">would be useful </w:t>
      </w:r>
      <w:r w:rsidR="006F3FE8">
        <w:rPr>
          <w:b/>
        </w:rPr>
        <w:t>for RAN</w:t>
      </w:r>
      <w:r w:rsidR="00A230E6" w:rsidRPr="000C307A">
        <w:rPr>
          <w:b/>
        </w:rPr>
        <w:t xml:space="preserve">.  </w:t>
      </w:r>
    </w:p>
    <w:p w14:paraId="3AF4BA26" w14:textId="77777777" w:rsidR="00D96B9F" w:rsidRDefault="00D96B9F" w:rsidP="00CD4C7B"/>
    <w:p w14:paraId="11FAB5DD" w14:textId="7DC80B21" w:rsidR="003B5835" w:rsidRDefault="00BF02F5" w:rsidP="00CE212F">
      <w:pPr>
        <w:pStyle w:val="Heading1"/>
      </w:pPr>
      <w:r>
        <w:t>6</w:t>
      </w:r>
      <w:r>
        <w:tab/>
        <w:t>Conclusions</w:t>
      </w:r>
    </w:p>
    <w:p w14:paraId="0AE616A4" w14:textId="77EFC9CE" w:rsidR="003B5835" w:rsidRDefault="00BF02F5" w:rsidP="00CD4C7B">
      <w:r>
        <w:t>The observations and proposals of the paper are summarized as follows:</w:t>
      </w:r>
    </w:p>
    <w:p w14:paraId="43A49C3E" w14:textId="77777777" w:rsidR="00F9456D" w:rsidRDefault="00F9456D" w:rsidP="00F9456D">
      <w:r w:rsidRPr="00712AC1">
        <w:rPr>
          <w:b/>
        </w:rPr>
        <w:t xml:space="preserve">Observation </w:t>
      </w:r>
      <w:r>
        <w:rPr>
          <w:b/>
        </w:rPr>
        <w:t>1</w:t>
      </w:r>
      <w:r w:rsidRPr="00712AC1">
        <w:rPr>
          <w:b/>
        </w:rPr>
        <w:t xml:space="preserve">: </w:t>
      </w:r>
      <w:r w:rsidRPr="00B8057F">
        <w:rPr>
          <w:b/>
        </w:rPr>
        <w:t xml:space="preserve">PDCCH reliability needs to be 1-2 orders of magnitude larger than the </w:t>
      </w:r>
      <w:r>
        <w:rPr>
          <w:b/>
        </w:rPr>
        <w:t xml:space="preserve">data </w:t>
      </w:r>
      <w:r w:rsidRPr="00B8057F">
        <w:rPr>
          <w:b/>
        </w:rPr>
        <w:t>reliability target.</w:t>
      </w:r>
    </w:p>
    <w:p w14:paraId="2C626B89" w14:textId="77777777" w:rsidR="00F9456D" w:rsidRPr="00B8057F" w:rsidRDefault="00F9456D" w:rsidP="00F9456D">
      <w:pPr>
        <w:rPr>
          <w:b/>
        </w:rPr>
      </w:pPr>
      <w:r w:rsidRPr="00B8057F">
        <w:rPr>
          <w:b/>
        </w:rPr>
        <w:t xml:space="preserve">Observation </w:t>
      </w:r>
      <w:r>
        <w:rPr>
          <w:b/>
        </w:rPr>
        <w:t>2</w:t>
      </w:r>
      <w:r w:rsidRPr="00B8057F">
        <w:rPr>
          <w:b/>
        </w:rPr>
        <w:t>: The overhead of DCI can become very large, when dynamic scheduling is used to allocate all the TSN flow data transmissions.</w:t>
      </w:r>
    </w:p>
    <w:p w14:paraId="56C424CF" w14:textId="77777777" w:rsidR="00F9456D" w:rsidRPr="00B8057F" w:rsidRDefault="00F9456D" w:rsidP="00F9456D">
      <w:pPr>
        <w:rPr>
          <w:b/>
        </w:rPr>
      </w:pPr>
      <w:r w:rsidRPr="00B8057F">
        <w:rPr>
          <w:b/>
        </w:rPr>
        <w:t xml:space="preserve">Observation </w:t>
      </w:r>
      <w:r>
        <w:rPr>
          <w:b/>
        </w:rPr>
        <w:t>3</w:t>
      </w:r>
      <w:r w:rsidRPr="00B8057F">
        <w:rPr>
          <w:b/>
        </w:rPr>
        <w:t xml:space="preserve">: For large aggregation levels (&gt;8) PDCCH starvation can be an issue. </w:t>
      </w:r>
    </w:p>
    <w:p w14:paraId="451DCFE2" w14:textId="3DC50253" w:rsidR="00BF02F5" w:rsidRDefault="00F9456D" w:rsidP="00F9456D">
      <w:r w:rsidRPr="00B8057F">
        <w:rPr>
          <w:b/>
        </w:rPr>
        <w:t xml:space="preserve">Observation </w:t>
      </w:r>
      <w:r>
        <w:rPr>
          <w:b/>
        </w:rPr>
        <w:t>4</w:t>
      </w:r>
      <w:r w:rsidRPr="00B8057F">
        <w:rPr>
          <w:b/>
        </w:rPr>
        <w:t xml:space="preserve">: Use of SPS and CG </w:t>
      </w:r>
      <w:r>
        <w:rPr>
          <w:b/>
        </w:rPr>
        <w:t>is</w:t>
      </w:r>
      <w:r w:rsidRPr="00B8057F">
        <w:rPr>
          <w:b/>
        </w:rPr>
        <w:t xml:space="preserve"> of high</w:t>
      </w:r>
      <w:r>
        <w:rPr>
          <w:b/>
        </w:rPr>
        <w:t>est</w:t>
      </w:r>
      <w:r w:rsidRPr="00B8057F">
        <w:rPr>
          <w:b/>
        </w:rPr>
        <w:t xml:space="preserve"> priority in order to ensure sufficient system capacity and reliability for TSN flows and other simultaneous dynamically scheduled traffic (eMBB, URLLC). </w:t>
      </w:r>
    </w:p>
    <w:p w14:paraId="06FE19F6" w14:textId="77777777" w:rsidR="00F9456D" w:rsidRDefault="00F9456D" w:rsidP="00F9456D">
      <w:pPr>
        <w:rPr>
          <w:b/>
        </w:rPr>
      </w:pPr>
      <w:r w:rsidRPr="00A93DC2">
        <w:rPr>
          <w:b/>
        </w:rPr>
        <w:t>Observation</w:t>
      </w:r>
      <w:r>
        <w:rPr>
          <w:b/>
        </w:rPr>
        <w:t xml:space="preserve"> 5</w:t>
      </w:r>
      <w:r w:rsidRPr="00A93DC2">
        <w:rPr>
          <w:b/>
        </w:rPr>
        <w:t>:</w:t>
      </w:r>
      <w:r w:rsidRPr="00582F98">
        <w:rPr>
          <w:b/>
        </w:rPr>
        <w:t xml:space="preserve"> </w:t>
      </w:r>
      <w:r w:rsidRPr="00B8057F">
        <w:rPr>
          <w:b/>
        </w:rPr>
        <w:t>There is significant benefit of having SPS periodicities with sub-slot resolution as it allows reducing the SPS allocation overhead and reducing the SPS allocation complexity while ensuring that the 5GS TSN bridge supports isochronous realtime operation.</w:t>
      </w:r>
    </w:p>
    <w:p w14:paraId="5D36B8B9" w14:textId="77777777" w:rsidR="00F9456D" w:rsidRDefault="00F9456D" w:rsidP="00F9456D">
      <w:r>
        <w:rPr>
          <w:b/>
        </w:rPr>
        <w:t>Observation 6:</w:t>
      </w:r>
      <w:r w:rsidRPr="00B8057F">
        <w:rPr>
          <w:b/>
        </w:rPr>
        <w:t xml:space="preserve"> </w:t>
      </w:r>
      <w:r>
        <w:rPr>
          <w:b/>
        </w:rPr>
        <w:t>When</w:t>
      </w:r>
      <w:r w:rsidRPr="00B8057F">
        <w:rPr>
          <w:b/>
        </w:rPr>
        <w:t xml:space="preserve"> having a course SPS granularity of e.g. 1 slot, it becomes important to have multiple SPS patterns configured per TSN flow and per BWP or multiple messages need to be bundled to the same allocation adding unnecessary delay to the system. </w:t>
      </w:r>
    </w:p>
    <w:p w14:paraId="7E01E76A" w14:textId="77777777" w:rsidR="00F9456D" w:rsidRDefault="00F9456D" w:rsidP="00F9456D">
      <w:r w:rsidRPr="00BC2F81">
        <w:rPr>
          <w:b/>
        </w:rPr>
        <w:t>Observation</w:t>
      </w:r>
      <w:r>
        <w:rPr>
          <w:b/>
        </w:rPr>
        <w:t xml:space="preserve"> 7</w:t>
      </w:r>
      <w:r w:rsidRPr="00BC2F81">
        <w:rPr>
          <w:b/>
        </w:rPr>
        <w:t>:</w:t>
      </w:r>
      <w:r w:rsidRPr="00B8057F">
        <w:rPr>
          <w:b/>
        </w:rPr>
        <w:t xml:space="preserve"> It is generally perceived that the presence of fast TSN flows leveraging CG and SPS will impair the performance of other traffic in need of dynamic scheduling, e.g. eMBB, high volume URLLC, etc. The existing solutions are not able to cope the issue completely</w:t>
      </w:r>
    </w:p>
    <w:p w14:paraId="54CE0EB3" w14:textId="77777777" w:rsidR="00F9456D" w:rsidRPr="00B8057F" w:rsidRDefault="00F9456D" w:rsidP="00F9456D">
      <w:pPr>
        <w:rPr>
          <w:b/>
        </w:rPr>
      </w:pPr>
      <w:r w:rsidRPr="00C56614">
        <w:rPr>
          <w:b/>
        </w:rPr>
        <w:t xml:space="preserve">Observation </w:t>
      </w:r>
      <w:r>
        <w:rPr>
          <w:b/>
        </w:rPr>
        <w:t>8</w:t>
      </w:r>
      <w:r w:rsidRPr="00C56614">
        <w:rPr>
          <w:b/>
        </w:rPr>
        <w:t>:</w:t>
      </w:r>
      <w:r w:rsidRPr="00B8057F">
        <w:rPr>
          <w:b/>
        </w:rPr>
        <w:t xml:space="preserve"> Knowledge of Survival Time in the RAN can be used to optimize reliability and/or increase system and link efficiency. In order to enable the application provider to tune the importance of single messages versus critical error, it may be considered to add </w:t>
      </w:r>
      <w:r>
        <w:rPr>
          <w:b/>
        </w:rPr>
        <w:t>an additional Critical Error PER parameter that relates to Survival Time being exceeded without a successful message delivered</w:t>
      </w:r>
      <w:r w:rsidRPr="00B8057F">
        <w:rPr>
          <w:b/>
        </w:rPr>
        <w:t>.</w:t>
      </w:r>
    </w:p>
    <w:p w14:paraId="1759808E" w14:textId="18774CB3" w:rsidR="00F9456D" w:rsidRDefault="00F9456D" w:rsidP="00F9456D">
      <w:r w:rsidRPr="00A93DC2">
        <w:rPr>
          <w:b/>
        </w:rPr>
        <w:t>Proposal</w:t>
      </w:r>
      <w:r>
        <w:rPr>
          <w:b/>
        </w:rPr>
        <w:t xml:space="preserve"> 1</w:t>
      </w:r>
      <w:r w:rsidRPr="00A93DC2">
        <w:rPr>
          <w:b/>
        </w:rPr>
        <w:t>:</w:t>
      </w:r>
      <w:r w:rsidRPr="00582F98">
        <w:rPr>
          <w:b/>
        </w:rPr>
        <w:t xml:space="preserve"> </w:t>
      </w:r>
      <w:r>
        <w:rPr>
          <w:b/>
        </w:rPr>
        <w:t xml:space="preserve">Agree that it is beneficial to support </w:t>
      </w:r>
      <w:r w:rsidRPr="00B8057F">
        <w:rPr>
          <w:b/>
        </w:rPr>
        <w:t>sub-slot granularity and resolution for SPS periodicities</w:t>
      </w:r>
      <w:r>
        <w:rPr>
          <w:b/>
        </w:rPr>
        <w:t>.</w:t>
      </w:r>
      <w:r w:rsidRPr="00B8057F">
        <w:rPr>
          <w:b/>
        </w:rPr>
        <w:t xml:space="preserve"> RAN1 should consider any complexity impact</w:t>
      </w:r>
      <w:r>
        <w:rPr>
          <w:b/>
        </w:rPr>
        <w:t xml:space="preserve"> in the WI phase</w:t>
      </w:r>
      <w:r w:rsidRPr="00B8057F">
        <w:rPr>
          <w:b/>
        </w:rPr>
        <w:t>.</w:t>
      </w:r>
    </w:p>
    <w:p w14:paraId="7E3B557B" w14:textId="459332D4" w:rsidR="00F9456D" w:rsidRPr="00B8057F" w:rsidRDefault="00F9456D" w:rsidP="00F9456D">
      <w:pPr>
        <w:rPr>
          <w:b/>
        </w:rPr>
      </w:pPr>
      <w:r w:rsidRPr="007626AE">
        <w:rPr>
          <w:b/>
        </w:rPr>
        <w:t xml:space="preserve">Proposal </w:t>
      </w:r>
      <w:r>
        <w:rPr>
          <w:b/>
        </w:rPr>
        <w:t>2</w:t>
      </w:r>
      <w:r w:rsidRPr="00C56614">
        <w:rPr>
          <w:b/>
        </w:rPr>
        <w:t>:</w:t>
      </w:r>
      <w:r w:rsidRPr="00B8057F">
        <w:rPr>
          <w:b/>
        </w:rPr>
        <w:t xml:space="preserve"> </w:t>
      </w:r>
      <w:r>
        <w:rPr>
          <w:b/>
        </w:rPr>
        <w:t>Study should conclude that further investigation of solutions for m</w:t>
      </w:r>
      <w:r w:rsidRPr="00541E72">
        <w:rPr>
          <w:b/>
        </w:rPr>
        <w:t>ultiplexing TSN traffic with eMBB/URLLC</w:t>
      </w:r>
      <w:r>
        <w:rPr>
          <w:b/>
        </w:rPr>
        <w:t xml:space="preserve"> is required during WI phase.</w:t>
      </w:r>
    </w:p>
    <w:p w14:paraId="6201A5B4" w14:textId="77777777" w:rsidR="006F3FE8" w:rsidRPr="000C307A" w:rsidRDefault="006F3FE8" w:rsidP="006F3FE8">
      <w:pPr>
        <w:rPr>
          <w:b/>
        </w:rPr>
      </w:pPr>
      <w:r w:rsidRPr="00C56614">
        <w:rPr>
          <w:b/>
        </w:rPr>
        <w:t xml:space="preserve">Proposal </w:t>
      </w:r>
      <w:r>
        <w:rPr>
          <w:b/>
        </w:rPr>
        <w:t>3</w:t>
      </w:r>
      <w:r w:rsidRPr="00C56614">
        <w:rPr>
          <w:b/>
        </w:rPr>
        <w:t>:</w:t>
      </w:r>
      <w:r w:rsidRPr="000C307A">
        <w:rPr>
          <w:b/>
        </w:rPr>
        <w:t xml:space="preserve"> </w:t>
      </w:r>
      <w:r>
        <w:rPr>
          <w:b/>
        </w:rPr>
        <w:t>RAN2 should indicate to SA2 that knowledge about S</w:t>
      </w:r>
      <w:r w:rsidRPr="000C307A">
        <w:rPr>
          <w:b/>
        </w:rPr>
        <w:t xml:space="preserve">urvival Time </w:t>
      </w:r>
      <w:r>
        <w:rPr>
          <w:b/>
        </w:rPr>
        <w:t>would be useful for RAN</w:t>
      </w:r>
      <w:r w:rsidRPr="000C307A">
        <w:rPr>
          <w:b/>
        </w:rPr>
        <w:t xml:space="preserve">.  </w:t>
      </w:r>
    </w:p>
    <w:p w14:paraId="661300B4" w14:textId="77777777" w:rsidR="00BF02F5" w:rsidRDefault="00BF02F5" w:rsidP="00CD4C7B"/>
    <w:p w14:paraId="5ADBF2BE" w14:textId="77777777" w:rsidR="0027183A" w:rsidRPr="0027183A" w:rsidRDefault="0027183A" w:rsidP="0027183A">
      <w:pPr>
        <w:keepNext/>
        <w:keepLines/>
        <w:pBdr>
          <w:top w:val="single" w:sz="12" w:space="3" w:color="auto"/>
        </w:pBdr>
        <w:spacing w:before="240"/>
        <w:ind w:left="1134" w:hanging="1134"/>
        <w:outlineLvl w:val="0"/>
        <w:rPr>
          <w:rFonts w:ascii="Arial" w:hAnsi="Arial"/>
          <w:sz w:val="36"/>
        </w:rPr>
      </w:pPr>
      <w:r w:rsidRPr="0027183A">
        <w:rPr>
          <w:rFonts w:ascii="Arial" w:hAnsi="Arial"/>
          <w:sz w:val="36"/>
        </w:rPr>
        <w:t>References</w:t>
      </w:r>
    </w:p>
    <w:p w14:paraId="42FC5464" w14:textId="77777777" w:rsidR="0027183A" w:rsidRPr="0027183A" w:rsidRDefault="0027183A" w:rsidP="0027183A">
      <w:r w:rsidRPr="0027183A">
        <w:t>[1]</w:t>
      </w:r>
      <w:r w:rsidRPr="0027183A">
        <w:tab/>
      </w:r>
      <w:r w:rsidRPr="0027183A">
        <w:tab/>
        <w:t xml:space="preserve">R2-1816043, </w:t>
      </w:r>
      <w:r w:rsidRPr="0027183A">
        <w:rPr>
          <w:i/>
        </w:rPr>
        <w:t>LS on TSN requirements evaluation</w:t>
      </w:r>
      <w:r w:rsidRPr="0027183A">
        <w:t>, Source: RAN2</w:t>
      </w:r>
    </w:p>
    <w:p w14:paraId="653E5359" w14:textId="77777777" w:rsidR="0027183A" w:rsidRPr="0027183A" w:rsidRDefault="0027183A" w:rsidP="0027183A">
      <w:r w:rsidRPr="0027183A">
        <w:t>[2]</w:t>
      </w:r>
      <w:r w:rsidRPr="0027183A">
        <w:tab/>
      </w:r>
      <w:r w:rsidRPr="0027183A">
        <w:tab/>
        <w:t xml:space="preserve">S1-183707, </w:t>
      </w:r>
      <w:r w:rsidRPr="0027183A">
        <w:rPr>
          <w:i/>
        </w:rPr>
        <w:t>Reply LS on TSN requirements evaluation</w:t>
      </w:r>
      <w:r w:rsidRPr="0027183A">
        <w:t>, Source: SA1</w:t>
      </w:r>
    </w:p>
    <w:p w14:paraId="23106110" w14:textId="77777777" w:rsidR="0027183A" w:rsidRPr="0027183A" w:rsidRDefault="0027183A" w:rsidP="0027183A">
      <w:r w:rsidRPr="0027183A">
        <w:t xml:space="preserve">[3] </w:t>
      </w:r>
      <w:r w:rsidRPr="0027183A">
        <w:tab/>
      </w:r>
      <w:r w:rsidRPr="0027183A">
        <w:tab/>
        <w:t xml:space="preserve">R3-187252, </w:t>
      </w:r>
      <w:r w:rsidRPr="0027183A">
        <w:rPr>
          <w:i/>
        </w:rPr>
        <w:t>Reply LS on TSN requirements evaluation</w:t>
      </w:r>
      <w:r w:rsidRPr="0027183A">
        <w:t>, Source: RAN3</w:t>
      </w:r>
    </w:p>
    <w:p w14:paraId="46687396" w14:textId="77777777" w:rsidR="0027183A" w:rsidRPr="0027183A" w:rsidRDefault="0027183A" w:rsidP="0027183A">
      <w:r w:rsidRPr="0027183A">
        <w:t>[4]</w:t>
      </w:r>
      <w:r w:rsidRPr="0027183A">
        <w:tab/>
      </w:r>
      <w:r w:rsidRPr="0027183A">
        <w:tab/>
      </w:r>
      <w:r w:rsidRPr="0027183A">
        <w:t xml:space="preserve">S2-1813392, </w:t>
      </w:r>
      <w:r w:rsidRPr="0027183A">
        <w:rPr>
          <w:i/>
        </w:rPr>
        <w:t>LS on RAN Impact analysis due to TSN</w:t>
      </w:r>
      <w:r w:rsidRPr="0027183A">
        <w:t>, Source: SA2</w:t>
      </w:r>
    </w:p>
    <w:p w14:paraId="302713FD" w14:textId="51C891AC" w:rsidR="0027183A" w:rsidRPr="00CE212F" w:rsidRDefault="0027183A" w:rsidP="0027183A">
      <w:r w:rsidRPr="00CE212F">
        <w:t>[5]</w:t>
      </w:r>
      <w:r w:rsidRPr="00CE212F">
        <w:tab/>
      </w:r>
      <w:r w:rsidRPr="00CE212F">
        <w:tab/>
      </w:r>
      <w:r w:rsidR="00FF17BD" w:rsidRPr="00FF17BD">
        <w:t>R2-1900634,</w:t>
      </w:r>
      <w:r w:rsidR="00FF17BD" w:rsidRPr="007076F1">
        <w:tab/>
        <w:t>Analysis of the synchronization solutions proposed by SA2: RAN2</w:t>
      </w:r>
    </w:p>
    <w:p w14:paraId="670E04AB" w14:textId="5851022A" w:rsidR="00FF2965" w:rsidRDefault="00FF2965" w:rsidP="0027183A">
      <w:r>
        <w:t>[6]</w:t>
      </w:r>
      <w:r>
        <w:tab/>
      </w:r>
      <w:r>
        <w:tab/>
        <w:t>TS 38.211 v.15.4</w:t>
      </w:r>
    </w:p>
    <w:p w14:paraId="166C553C" w14:textId="1BC50FE1" w:rsidR="00084AE9" w:rsidRPr="00EC6340" w:rsidRDefault="00E26382" w:rsidP="00EC6340">
      <w:r>
        <w:t>[7]</w:t>
      </w:r>
      <w:r>
        <w:tab/>
      </w:r>
      <w:r>
        <w:tab/>
      </w:r>
      <w:r w:rsidRPr="00E26382">
        <w:t>R1-1901436</w:t>
      </w:r>
      <w:r>
        <w:t xml:space="preserve">, </w:t>
      </w:r>
      <w:r w:rsidRPr="00E26382">
        <w:t>Summary of evaluations on TSN reliability, latency and synchronization accuracy</w:t>
      </w:r>
      <w:r>
        <w:t>, Source: RAN1</w:t>
      </w:r>
    </w:p>
    <w:sectPr w:rsidR="00084AE9" w:rsidRPr="00EC6340" w:rsidSect="007C18A0">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F6330F" w14:textId="77777777" w:rsidR="00375B2F" w:rsidRDefault="00375B2F">
      <w:r>
        <w:separator/>
      </w:r>
    </w:p>
  </w:endnote>
  <w:endnote w:type="continuationSeparator" w:id="0">
    <w:p w14:paraId="7EA37884" w14:textId="77777777" w:rsidR="00375B2F" w:rsidRDefault="00375B2F">
      <w:r>
        <w:continuationSeparator/>
      </w:r>
    </w:p>
  </w:endnote>
  <w:endnote w:type="continuationNotice" w:id="1">
    <w:p w14:paraId="77B40643" w14:textId="77777777" w:rsidR="00375B2F" w:rsidRDefault="00375B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C6C7B" w14:textId="77777777" w:rsidR="00375B2F" w:rsidRDefault="00375B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8664D" w14:textId="77777777" w:rsidR="00375B2F" w:rsidRDefault="00375B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C49A6" w14:textId="77777777" w:rsidR="00375B2F" w:rsidRDefault="00375B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56E979" w14:textId="77777777" w:rsidR="00375B2F" w:rsidRDefault="00375B2F">
      <w:r>
        <w:separator/>
      </w:r>
    </w:p>
  </w:footnote>
  <w:footnote w:type="continuationSeparator" w:id="0">
    <w:p w14:paraId="4D6D4ECB" w14:textId="77777777" w:rsidR="00375B2F" w:rsidRDefault="00375B2F">
      <w:r>
        <w:continuationSeparator/>
      </w:r>
    </w:p>
  </w:footnote>
  <w:footnote w:type="continuationNotice" w:id="1">
    <w:p w14:paraId="1398F127" w14:textId="77777777" w:rsidR="00375B2F" w:rsidRDefault="00375B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AE2F33" w14:textId="77777777" w:rsidR="00375B2F" w:rsidRDefault="00375B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6E170" w14:textId="77777777" w:rsidR="00375B2F" w:rsidRDefault="00375B2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F198" w14:textId="77777777" w:rsidR="00375B2F" w:rsidRDefault="00375B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15:restartNumberingAfterBreak="0">
    <w:nsid w:val="427C48CC"/>
    <w:multiLevelType w:val="hybridMultilevel"/>
    <w:tmpl w:val="7CCE755E"/>
    <w:lvl w:ilvl="0" w:tplc="12E41E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F23A7C"/>
    <w:multiLevelType w:val="hybridMultilevel"/>
    <w:tmpl w:val="7E3E6F94"/>
    <w:lvl w:ilvl="0" w:tplc="62908DEE">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72600F2F"/>
    <w:multiLevelType w:val="hybridMultilevel"/>
    <w:tmpl w:val="6A328700"/>
    <w:lvl w:ilvl="0" w:tplc="2EC25788">
      <w:start w:val="6"/>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4"/>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7FC1"/>
    <w:rsid w:val="000132F2"/>
    <w:rsid w:val="00027F2B"/>
    <w:rsid w:val="00033397"/>
    <w:rsid w:val="00040095"/>
    <w:rsid w:val="000455B6"/>
    <w:rsid w:val="00047752"/>
    <w:rsid w:val="0005123F"/>
    <w:rsid w:val="00062DC0"/>
    <w:rsid w:val="000672B0"/>
    <w:rsid w:val="0007275E"/>
    <w:rsid w:val="00076B08"/>
    <w:rsid w:val="00080512"/>
    <w:rsid w:val="00080B6D"/>
    <w:rsid w:val="000830C9"/>
    <w:rsid w:val="0008321D"/>
    <w:rsid w:val="00084AE9"/>
    <w:rsid w:val="00084DFD"/>
    <w:rsid w:val="00085A2F"/>
    <w:rsid w:val="00086DEF"/>
    <w:rsid w:val="000871FE"/>
    <w:rsid w:val="0008745F"/>
    <w:rsid w:val="00090468"/>
    <w:rsid w:val="000A3489"/>
    <w:rsid w:val="000B7BCF"/>
    <w:rsid w:val="000C045B"/>
    <w:rsid w:val="000C307A"/>
    <w:rsid w:val="000C522B"/>
    <w:rsid w:val="000D58AB"/>
    <w:rsid w:val="000D7686"/>
    <w:rsid w:val="000E4CD7"/>
    <w:rsid w:val="000E5317"/>
    <w:rsid w:val="000F0707"/>
    <w:rsid w:val="0010392A"/>
    <w:rsid w:val="00106901"/>
    <w:rsid w:val="00112F1A"/>
    <w:rsid w:val="00115433"/>
    <w:rsid w:val="00116DD8"/>
    <w:rsid w:val="001247A3"/>
    <w:rsid w:val="00145075"/>
    <w:rsid w:val="0015629E"/>
    <w:rsid w:val="00160F68"/>
    <w:rsid w:val="00161BDE"/>
    <w:rsid w:val="001656A6"/>
    <w:rsid w:val="00171BDE"/>
    <w:rsid w:val="00174031"/>
    <w:rsid w:val="001741A0"/>
    <w:rsid w:val="00175FA0"/>
    <w:rsid w:val="00182C84"/>
    <w:rsid w:val="00194CD0"/>
    <w:rsid w:val="001A4D44"/>
    <w:rsid w:val="001A7D8C"/>
    <w:rsid w:val="001B49C9"/>
    <w:rsid w:val="001B589C"/>
    <w:rsid w:val="001B6BFD"/>
    <w:rsid w:val="001C2B78"/>
    <w:rsid w:val="001C4F79"/>
    <w:rsid w:val="001C5594"/>
    <w:rsid w:val="001E5559"/>
    <w:rsid w:val="001E77A1"/>
    <w:rsid w:val="001F168B"/>
    <w:rsid w:val="001F3235"/>
    <w:rsid w:val="001F7831"/>
    <w:rsid w:val="00204045"/>
    <w:rsid w:val="0020712B"/>
    <w:rsid w:val="00216C15"/>
    <w:rsid w:val="00221E0D"/>
    <w:rsid w:val="00223215"/>
    <w:rsid w:val="0022606D"/>
    <w:rsid w:val="00226CEE"/>
    <w:rsid w:val="0022770F"/>
    <w:rsid w:val="00230C0F"/>
    <w:rsid w:val="00231728"/>
    <w:rsid w:val="00236A0B"/>
    <w:rsid w:val="0024502E"/>
    <w:rsid w:val="002610D8"/>
    <w:rsid w:val="00262E19"/>
    <w:rsid w:val="0026666F"/>
    <w:rsid w:val="0027183A"/>
    <w:rsid w:val="00271CB4"/>
    <w:rsid w:val="002747EC"/>
    <w:rsid w:val="002829D4"/>
    <w:rsid w:val="002855BF"/>
    <w:rsid w:val="00286240"/>
    <w:rsid w:val="002901E0"/>
    <w:rsid w:val="002938AC"/>
    <w:rsid w:val="002B54E5"/>
    <w:rsid w:val="002C5D13"/>
    <w:rsid w:val="002E03D2"/>
    <w:rsid w:val="002E2EE8"/>
    <w:rsid w:val="002E43DC"/>
    <w:rsid w:val="002F0D22"/>
    <w:rsid w:val="002F4411"/>
    <w:rsid w:val="002F65EB"/>
    <w:rsid w:val="002F771B"/>
    <w:rsid w:val="00305EE6"/>
    <w:rsid w:val="00312911"/>
    <w:rsid w:val="00312FE3"/>
    <w:rsid w:val="003172DC"/>
    <w:rsid w:val="00325AE3"/>
    <w:rsid w:val="00326069"/>
    <w:rsid w:val="00332211"/>
    <w:rsid w:val="003529BF"/>
    <w:rsid w:val="0035462D"/>
    <w:rsid w:val="0035672B"/>
    <w:rsid w:val="00364B41"/>
    <w:rsid w:val="00375B2F"/>
    <w:rsid w:val="00390333"/>
    <w:rsid w:val="003A3B81"/>
    <w:rsid w:val="003A41EF"/>
    <w:rsid w:val="003A71E9"/>
    <w:rsid w:val="003B40AD"/>
    <w:rsid w:val="003B5835"/>
    <w:rsid w:val="003B6006"/>
    <w:rsid w:val="003C4E37"/>
    <w:rsid w:val="003E0043"/>
    <w:rsid w:val="003E1274"/>
    <w:rsid w:val="003E16BE"/>
    <w:rsid w:val="003E66CE"/>
    <w:rsid w:val="003E7096"/>
    <w:rsid w:val="003F4E28"/>
    <w:rsid w:val="004006E8"/>
    <w:rsid w:val="00401855"/>
    <w:rsid w:val="00402CF7"/>
    <w:rsid w:val="00427D99"/>
    <w:rsid w:val="00433FEF"/>
    <w:rsid w:val="00435701"/>
    <w:rsid w:val="00457941"/>
    <w:rsid w:val="004613B2"/>
    <w:rsid w:val="00465587"/>
    <w:rsid w:val="004711BF"/>
    <w:rsid w:val="0047498B"/>
    <w:rsid w:val="00477455"/>
    <w:rsid w:val="00477C70"/>
    <w:rsid w:val="00494013"/>
    <w:rsid w:val="004953FC"/>
    <w:rsid w:val="004A1F7B"/>
    <w:rsid w:val="004A213F"/>
    <w:rsid w:val="004A2B26"/>
    <w:rsid w:val="004A6B7A"/>
    <w:rsid w:val="004B47E1"/>
    <w:rsid w:val="004B583C"/>
    <w:rsid w:val="004C44D2"/>
    <w:rsid w:val="004C6645"/>
    <w:rsid w:val="004C7810"/>
    <w:rsid w:val="004D3578"/>
    <w:rsid w:val="004D380D"/>
    <w:rsid w:val="004E213A"/>
    <w:rsid w:val="004E32B3"/>
    <w:rsid w:val="004E76D3"/>
    <w:rsid w:val="004F76E9"/>
    <w:rsid w:val="005026D2"/>
    <w:rsid w:val="00503171"/>
    <w:rsid w:val="00506C28"/>
    <w:rsid w:val="00507BA9"/>
    <w:rsid w:val="0051165A"/>
    <w:rsid w:val="00526DA4"/>
    <w:rsid w:val="00531D2A"/>
    <w:rsid w:val="00534DA0"/>
    <w:rsid w:val="00537548"/>
    <w:rsid w:val="00541E72"/>
    <w:rsid w:val="00543E6C"/>
    <w:rsid w:val="00545B69"/>
    <w:rsid w:val="00546F63"/>
    <w:rsid w:val="0055056D"/>
    <w:rsid w:val="005542A5"/>
    <w:rsid w:val="00557AF6"/>
    <w:rsid w:val="005615C6"/>
    <w:rsid w:val="00565087"/>
    <w:rsid w:val="0056573F"/>
    <w:rsid w:val="0057024F"/>
    <w:rsid w:val="00582F98"/>
    <w:rsid w:val="005925E1"/>
    <w:rsid w:val="00594643"/>
    <w:rsid w:val="00596740"/>
    <w:rsid w:val="005A5394"/>
    <w:rsid w:val="005A76E4"/>
    <w:rsid w:val="005B3CE7"/>
    <w:rsid w:val="005D3F12"/>
    <w:rsid w:val="005D7031"/>
    <w:rsid w:val="005F3555"/>
    <w:rsid w:val="005F638F"/>
    <w:rsid w:val="00607080"/>
    <w:rsid w:val="00611566"/>
    <w:rsid w:val="00611BC6"/>
    <w:rsid w:val="006208B3"/>
    <w:rsid w:val="006345A0"/>
    <w:rsid w:val="00646D99"/>
    <w:rsid w:val="00656910"/>
    <w:rsid w:val="00661583"/>
    <w:rsid w:val="006826D7"/>
    <w:rsid w:val="00683A5B"/>
    <w:rsid w:val="00695A3B"/>
    <w:rsid w:val="006B00E0"/>
    <w:rsid w:val="006C175C"/>
    <w:rsid w:val="006C66D8"/>
    <w:rsid w:val="006D1E24"/>
    <w:rsid w:val="006D3306"/>
    <w:rsid w:val="006D799C"/>
    <w:rsid w:val="006E1417"/>
    <w:rsid w:val="006E720E"/>
    <w:rsid w:val="006F3FE8"/>
    <w:rsid w:val="006F594D"/>
    <w:rsid w:val="006F6A2C"/>
    <w:rsid w:val="007011D7"/>
    <w:rsid w:val="00704F42"/>
    <w:rsid w:val="007076F1"/>
    <w:rsid w:val="00710201"/>
    <w:rsid w:val="00712AC1"/>
    <w:rsid w:val="00716EDD"/>
    <w:rsid w:val="00717E8E"/>
    <w:rsid w:val="0073226E"/>
    <w:rsid w:val="0073402A"/>
    <w:rsid w:val="007342B5"/>
    <w:rsid w:val="00734A5B"/>
    <w:rsid w:val="00744E76"/>
    <w:rsid w:val="00757D40"/>
    <w:rsid w:val="007626AE"/>
    <w:rsid w:val="007668A3"/>
    <w:rsid w:val="00781F0F"/>
    <w:rsid w:val="0078727C"/>
    <w:rsid w:val="0079049D"/>
    <w:rsid w:val="00790B85"/>
    <w:rsid w:val="00793DC5"/>
    <w:rsid w:val="00793E21"/>
    <w:rsid w:val="007A24E9"/>
    <w:rsid w:val="007A3A2F"/>
    <w:rsid w:val="007B038A"/>
    <w:rsid w:val="007B18D8"/>
    <w:rsid w:val="007B2C3D"/>
    <w:rsid w:val="007B4C1F"/>
    <w:rsid w:val="007C095F"/>
    <w:rsid w:val="007C18A0"/>
    <w:rsid w:val="007C2606"/>
    <w:rsid w:val="007C2DD0"/>
    <w:rsid w:val="007D5E73"/>
    <w:rsid w:val="007E4C8D"/>
    <w:rsid w:val="007E6638"/>
    <w:rsid w:val="007F1315"/>
    <w:rsid w:val="007F4083"/>
    <w:rsid w:val="007F74D0"/>
    <w:rsid w:val="008028A4"/>
    <w:rsid w:val="008073B5"/>
    <w:rsid w:val="00813245"/>
    <w:rsid w:val="00813745"/>
    <w:rsid w:val="008141B7"/>
    <w:rsid w:val="008235F3"/>
    <w:rsid w:val="00823AD9"/>
    <w:rsid w:val="00832B52"/>
    <w:rsid w:val="008346F1"/>
    <w:rsid w:val="00835072"/>
    <w:rsid w:val="008358D9"/>
    <w:rsid w:val="00847669"/>
    <w:rsid w:val="00854E78"/>
    <w:rsid w:val="008768CA"/>
    <w:rsid w:val="00877EF9"/>
    <w:rsid w:val="00880559"/>
    <w:rsid w:val="008854BC"/>
    <w:rsid w:val="008A44EF"/>
    <w:rsid w:val="008B1192"/>
    <w:rsid w:val="008B5306"/>
    <w:rsid w:val="008C6154"/>
    <w:rsid w:val="008D2E4D"/>
    <w:rsid w:val="008F396F"/>
    <w:rsid w:val="008F6091"/>
    <w:rsid w:val="008F68F4"/>
    <w:rsid w:val="00900C5B"/>
    <w:rsid w:val="0090271F"/>
    <w:rsid w:val="00902DB9"/>
    <w:rsid w:val="0090466A"/>
    <w:rsid w:val="0090699F"/>
    <w:rsid w:val="0092189B"/>
    <w:rsid w:val="009244A3"/>
    <w:rsid w:val="00930070"/>
    <w:rsid w:val="009301AB"/>
    <w:rsid w:val="00930B07"/>
    <w:rsid w:val="00936071"/>
    <w:rsid w:val="00940212"/>
    <w:rsid w:val="009421CB"/>
    <w:rsid w:val="00942EC2"/>
    <w:rsid w:val="009561A3"/>
    <w:rsid w:val="00961B32"/>
    <w:rsid w:val="00962509"/>
    <w:rsid w:val="00970DB3"/>
    <w:rsid w:val="00974BB0"/>
    <w:rsid w:val="00975AF2"/>
    <w:rsid w:val="009808B5"/>
    <w:rsid w:val="00982893"/>
    <w:rsid w:val="00982D2E"/>
    <w:rsid w:val="00984680"/>
    <w:rsid w:val="009A0AF3"/>
    <w:rsid w:val="009A4EB1"/>
    <w:rsid w:val="009A4FB6"/>
    <w:rsid w:val="009B07CD"/>
    <w:rsid w:val="009C19E9"/>
    <w:rsid w:val="009D74A6"/>
    <w:rsid w:val="009E599D"/>
    <w:rsid w:val="009F26A6"/>
    <w:rsid w:val="00A00555"/>
    <w:rsid w:val="00A10F02"/>
    <w:rsid w:val="00A13141"/>
    <w:rsid w:val="00A204CA"/>
    <w:rsid w:val="00A230E6"/>
    <w:rsid w:val="00A26BB3"/>
    <w:rsid w:val="00A331A7"/>
    <w:rsid w:val="00A34933"/>
    <w:rsid w:val="00A35C40"/>
    <w:rsid w:val="00A42BAA"/>
    <w:rsid w:val="00A43D57"/>
    <w:rsid w:val="00A51ACB"/>
    <w:rsid w:val="00A53724"/>
    <w:rsid w:val="00A55759"/>
    <w:rsid w:val="00A65B21"/>
    <w:rsid w:val="00A75307"/>
    <w:rsid w:val="00A81C9E"/>
    <w:rsid w:val="00A82346"/>
    <w:rsid w:val="00A83798"/>
    <w:rsid w:val="00A84F04"/>
    <w:rsid w:val="00A93DC2"/>
    <w:rsid w:val="00A9484B"/>
    <w:rsid w:val="00A9671C"/>
    <w:rsid w:val="00AA05E4"/>
    <w:rsid w:val="00AA1553"/>
    <w:rsid w:val="00AB3FF5"/>
    <w:rsid w:val="00AD2F57"/>
    <w:rsid w:val="00AE4898"/>
    <w:rsid w:val="00AE65B3"/>
    <w:rsid w:val="00AF3F22"/>
    <w:rsid w:val="00AF6BA6"/>
    <w:rsid w:val="00B01637"/>
    <w:rsid w:val="00B03111"/>
    <w:rsid w:val="00B05380"/>
    <w:rsid w:val="00B05962"/>
    <w:rsid w:val="00B15449"/>
    <w:rsid w:val="00B1677D"/>
    <w:rsid w:val="00B206C2"/>
    <w:rsid w:val="00B27303"/>
    <w:rsid w:val="00B305F8"/>
    <w:rsid w:val="00B36960"/>
    <w:rsid w:val="00B40289"/>
    <w:rsid w:val="00B47FD1"/>
    <w:rsid w:val="00B516BB"/>
    <w:rsid w:val="00B522FC"/>
    <w:rsid w:val="00B53A46"/>
    <w:rsid w:val="00B5731C"/>
    <w:rsid w:val="00B63B07"/>
    <w:rsid w:val="00B663D6"/>
    <w:rsid w:val="00B71A30"/>
    <w:rsid w:val="00B84DB2"/>
    <w:rsid w:val="00B97F15"/>
    <w:rsid w:val="00BB6883"/>
    <w:rsid w:val="00BB7893"/>
    <w:rsid w:val="00BC2F81"/>
    <w:rsid w:val="00BC33F6"/>
    <w:rsid w:val="00BC3555"/>
    <w:rsid w:val="00BD496F"/>
    <w:rsid w:val="00BD5699"/>
    <w:rsid w:val="00BF02F5"/>
    <w:rsid w:val="00BF3671"/>
    <w:rsid w:val="00BF4BFD"/>
    <w:rsid w:val="00C0195E"/>
    <w:rsid w:val="00C12B51"/>
    <w:rsid w:val="00C20303"/>
    <w:rsid w:val="00C234C1"/>
    <w:rsid w:val="00C24247"/>
    <w:rsid w:val="00C24650"/>
    <w:rsid w:val="00C25465"/>
    <w:rsid w:val="00C33079"/>
    <w:rsid w:val="00C354CA"/>
    <w:rsid w:val="00C415F7"/>
    <w:rsid w:val="00C47816"/>
    <w:rsid w:val="00C56614"/>
    <w:rsid w:val="00C71082"/>
    <w:rsid w:val="00C71C7A"/>
    <w:rsid w:val="00C802DB"/>
    <w:rsid w:val="00C81FCA"/>
    <w:rsid w:val="00C83A13"/>
    <w:rsid w:val="00C85E4A"/>
    <w:rsid w:val="00C9068C"/>
    <w:rsid w:val="00C91564"/>
    <w:rsid w:val="00C92967"/>
    <w:rsid w:val="00C9744E"/>
    <w:rsid w:val="00CA15EA"/>
    <w:rsid w:val="00CA3B75"/>
    <w:rsid w:val="00CA3D0C"/>
    <w:rsid w:val="00CA654B"/>
    <w:rsid w:val="00CB101A"/>
    <w:rsid w:val="00CB4668"/>
    <w:rsid w:val="00CB5EE4"/>
    <w:rsid w:val="00CB72B8"/>
    <w:rsid w:val="00CC50E6"/>
    <w:rsid w:val="00CD4C7B"/>
    <w:rsid w:val="00CE0B91"/>
    <w:rsid w:val="00CE212F"/>
    <w:rsid w:val="00D0259B"/>
    <w:rsid w:val="00D179F2"/>
    <w:rsid w:val="00D33BE3"/>
    <w:rsid w:val="00D3792D"/>
    <w:rsid w:val="00D44592"/>
    <w:rsid w:val="00D46955"/>
    <w:rsid w:val="00D555AA"/>
    <w:rsid w:val="00D55E47"/>
    <w:rsid w:val="00D62E19"/>
    <w:rsid w:val="00D67CD1"/>
    <w:rsid w:val="00D7302D"/>
    <w:rsid w:val="00D73461"/>
    <w:rsid w:val="00D738D6"/>
    <w:rsid w:val="00D74DFC"/>
    <w:rsid w:val="00D75E92"/>
    <w:rsid w:val="00D80795"/>
    <w:rsid w:val="00D81078"/>
    <w:rsid w:val="00D83C9C"/>
    <w:rsid w:val="00D854BE"/>
    <w:rsid w:val="00D87E00"/>
    <w:rsid w:val="00D9134D"/>
    <w:rsid w:val="00D9181C"/>
    <w:rsid w:val="00D96B9F"/>
    <w:rsid w:val="00D96D11"/>
    <w:rsid w:val="00DA495C"/>
    <w:rsid w:val="00DA7A03"/>
    <w:rsid w:val="00DB0DB8"/>
    <w:rsid w:val="00DB1818"/>
    <w:rsid w:val="00DC0E76"/>
    <w:rsid w:val="00DC309B"/>
    <w:rsid w:val="00DC333B"/>
    <w:rsid w:val="00DC4DA2"/>
    <w:rsid w:val="00DD514C"/>
    <w:rsid w:val="00DD5C80"/>
    <w:rsid w:val="00DF0AEC"/>
    <w:rsid w:val="00DF7A29"/>
    <w:rsid w:val="00E01415"/>
    <w:rsid w:val="00E02B67"/>
    <w:rsid w:val="00E04C13"/>
    <w:rsid w:val="00E04F48"/>
    <w:rsid w:val="00E07BC4"/>
    <w:rsid w:val="00E12819"/>
    <w:rsid w:val="00E1303C"/>
    <w:rsid w:val="00E26382"/>
    <w:rsid w:val="00E3312E"/>
    <w:rsid w:val="00E46C08"/>
    <w:rsid w:val="00E471CF"/>
    <w:rsid w:val="00E54E2F"/>
    <w:rsid w:val="00E62835"/>
    <w:rsid w:val="00E62D4F"/>
    <w:rsid w:val="00E62F02"/>
    <w:rsid w:val="00E7231F"/>
    <w:rsid w:val="00E77577"/>
    <w:rsid w:val="00E77645"/>
    <w:rsid w:val="00E82D7A"/>
    <w:rsid w:val="00E83697"/>
    <w:rsid w:val="00E91441"/>
    <w:rsid w:val="00E9693B"/>
    <w:rsid w:val="00E96A38"/>
    <w:rsid w:val="00EB05C3"/>
    <w:rsid w:val="00EB2A40"/>
    <w:rsid w:val="00EB2A8C"/>
    <w:rsid w:val="00EB30C6"/>
    <w:rsid w:val="00EB406D"/>
    <w:rsid w:val="00EC4A25"/>
    <w:rsid w:val="00EC6340"/>
    <w:rsid w:val="00EC77E5"/>
    <w:rsid w:val="00ED2652"/>
    <w:rsid w:val="00EE3B27"/>
    <w:rsid w:val="00F025A2"/>
    <w:rsid w:val="00F07388"/>
    <w:rsid w:val="00F127FF"/>
    <w:rsid w:val="00F2026E"/>
    <w:rsid w:val="00F2210A"/>
    <w:rsid w:val="00F25428"/>
    <w:rsid w:val="00F310C7"/>
    <w:rsid w:val="00F37073"/>
    <w:rsid w:val="00F37743"/>
    <w:rsid w:val="00F54A3D"/>
    <w:rsid w:val="00F54CB0"/>
    <w:rsid w:val="00F653B8"/>
    <w:rsid w:val="00F6723B"/>
    <w:rsid w:val="00F71B89"/>
    <w:rsid w:val="00F7353C"/>
    <w:rsid w:val="00F76F8F"/>
    <w:rsid w:val="00F80FE3"/>
    <w:rsid w:val="00F8549A"/>
    <w:rsid w:val="00F91938"/>
    <w:rsid w:val="00F941DF"/>
    <w:rsid w:val="00F9456D"/>
    <w:rsid w:val="00FA1266"/>
    <w:rsid w:val="00FA28C9"/>
    <w:rsid w:val="00FA7C61"/>
    <w:rsid w:val="00FB36FA"/>
    <w:rsid w:val="00FB5FED"/>
    <w:rsid w:val="00FC1192"/>
    <w:rsid w:val="00FC30FE"/>
    <w:rsid w:val="00FC409E"/>
    <w:rsid w:val="00FD2B74"/>
    <w:rsid w:val="00FE251B"/>
    <w:rsid w:val="00FF17BD"/>
    <w:rsid w:val="00FF1947"/>
    <w:rsid w:val="00FF2965"/>
    <w:rsid w:val="00FF74A5"/>
    <w:rsid w:val="08B0AFA8"/>
    <w:rsid w:val="0ECE83E1"/>
    <w:rsid w:val="4C32E334"/>
    <w:rsid w:val="4CF78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027F2B"/>
    <w:pPr>
      <w:ind w:left="720"/>
      <w:contextualSpacing/>
    </w:pPr>
  </w:style>
  <w:style w:type="paragraph" w:styleId="Caption">
    <w:name w:val="caption"/>
    <w:basedOn w:val="Normal"/>
    <w:next w:val="Normal"/>
    <w:unhideWhenUsed/>
    <w:qFormat/>
    <w:rsid w:val="00047752"/>
    <w:pPr>
      <w:spacing w:after="200"/>
    </w:pPr>
    <w:rPr>
      <w:i/>
      <w:iCs/>
      <w:color w:val="44546A" w:themeColor="text2"/>
      <w:sz w:val="18"/>
      <w:szCs w:val="18"/>
    </w:rPr>
  </w:style>
  <w:style w:type="character" w:styleId="CommentReference">
    <w:name w:val="annotation reference"/>
    <w:basedOn w:val="DefaultParagraphFont"/>
    <w:rsid w:val="003E1274"/>
    <w:rPr>
      <w:sz w:val="16"/>
      <w:szCs w:val="16"/>
    </w:rPr>
  </w:style>
  <w:style w:type="paragraph" w:styleId="CommentText">
    <w:name w:val="annotation text"/>
    <w:basedOn w:val="Normal"/>
    <w:link w:val="CommentTextChar"/>
    <w:rsid w:val="003E1274"/>
  </w:style>
  <w:style w:type="character" w:customStyle="1" w:styleId="CommentTextChar">
    <w:name w:val="Comment Text Char"/>
    <w:basedOn w:val="DefaultParagraphFont"/>
    <w:link w:val="CommentText"/>
    <w:rsid w:val="003E1274"/>
    <w:rPr>
      <w:lang w:eastAsia="en-US"/>
    </w:rPr>
  </w:style>
  <w:style w:type="paragraph" w:styleId="CommentSubject">
    <w:name w:val="annotation subject"/>
    <w:basedOn w:val="CommentText"/>
    <w:next w:val="CommentText"/>
    <w:link w:val="CommentSubjectChar"/>
    <w:rsid w:val="003E1274"/>
    <w:rPr>
      <w:b/>
      <w:bCs/>
    </w:rPr>
  </w:style>
  <w:style w:type="character" w:customStyle="1" w:styleId="CommentSubjectChar">
    <w:name w:val="Comment Subject Char"/>
    <w:basedOn w:val="CommentTextChar"/>
    <w:link w:val="CommentSubject"/>
    <w:rsid w:val="003E1274"/>
    <w:rPr>
      <w:b/>
      <w:bCs/>
      <w:lang w:eastAsia="en-US"/>
    </w:rPr>
  </w:style>
  <w:style w:type="character" w:styleId="PlaceholderText">
    <w:name w:val="Placeholder Text"/>
    <w:basedOn w:val="DefaultParagraphFont"/>
    <w:uiPriority w:val="99"/>
    <w:semiHidden/>
    <w:rsid w:val="008A44EF"/>
    <w:rPr>
      <w:color w:val="808080"/>
    </w:rPr>
  </w:style>
  <w:style w:type="table" w:styleId="TableGrid">
    <w:name w:val="Table Grid"/>
    <w:basedOn w:val="TableNormal"/>
    <w:rsid w:val="000E4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357392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eader" Target="header3.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1" ma:contentTypeDescription="Create a new document." ma:contentTypeScope="" ma:versionID="9fcbdbbc5ddc6f1cf6ebf1b685f2be8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dda086cec258dcd19271d8b6db3afa94"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5AIRPNAIUNRU-859666464-4643</_dlc_DocId>
    <_dlc_DocIdUrl xmlns="71c5aaf6-e6ce-465b-b873-5148d2a4c105">
      <Url>https://nokia.sharepoint.com/sites/c5g/e2earch/_layouts/15/DocIdRedir.aspx?ID=5AIRPNAIUNRU-859666464-4643</Url>
      <Description>5AIRPNAIUNRU-859666464-4643</Description>
    </_dlc_DocIdUrl>
    <SharedWithUsers xmlns="a3840f4f-04be-43d1-b2ef-6ff1382503c7">
      <UserInfo>
        <DisplayName>Koziol, Dawid (Nokia - PL/Wroclaw)</DisplayName>
        <AccountId>134</AccountId>
        <AccountType/>
      </UserInfo>
    </SharedWithUsers>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261BB0F7-38C2-421F-8D55-4C3D5F543F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D1FF41-9130-4FBF-B742-64100F73850B}">
  <ds:schemaRefs>
    <ds:schemaRef ds:uri="http://purl.org/dc/terms/"/>
    <ds:schemaRef ds:uri="http://purl.org/dc/dcmitype/"/>
    <ds:schemaRef ds:uri="http://www.w3.org/XML/1998/namespace"/>
    <ds:schemaRef ds:uri="3b34c8f0-1ef5-4d1e-bb66-517ce7fe7356"/>
    <ds:schemaRef ds:uri="http://schemas.microsoft.com/office/2006/documentManagement/types"/>
    <ds:schemaRef ds:uri="71c5aaf6-e6ce-465b-b873-5148d2a4c105"/>
    <ds:schemaRef ds:uri="http://schemas.microsoft.com/office/2006/metadata/properties"/>
    <ds:schemaRef ds:uri="83f22d2f-d16e-4be6-ad4f-29fa0b067c3c"/>
    <ds:schemaRef ds:uri="a3840f4f-04be-43d1-b2ef-6ff1382503c7"/>
    <ds:schemaRef ds:uri="http://schemas.microsoft.com/office/infopath/2007/PartnerControls"/>
    <ds:schemaRef ds:uri="http://schemas.openxmlformats.org/package/2006/metadata/core-properties"/>
    <ds:schemaRef ds:uri="http://purl.org/dc/elements/1.1/"/>
  </ds:schemaRefs>
</ds:datastoreItem>
</file>

<file path=customXml/itemProps3.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4.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6.xml><?xml version="1.0" encoding="utf-8"?>
<ds:datastoreItem xmlns:ds="http://schemas.openxmlformats.org/officeDocument/2006/customXml" ds:itemID="{18107EE6-35BD-4201-AA14-672C570EB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0</TotalTime>
  <Pages>8</Pages>
  <Words>2845</Words>
  <Characters>16222</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19029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&lt;Title 1; Title 2&gt; (Release 13 |12 |11 | 10 | 9 | 8 | 7 | 6 | 5 | 4)</dc:subject>
  <dc:creator>Koziol, Dawid (Nokia - PL/Wroclaw)</dc:creator>
  <cp:lastModifiedBy>Nokia</cp:lastModifiedBy>
  <cp:revision>2</cp:revision>
  <dcterms:created xsi:type="dcterms:W3CDTF">2019-02-14T14:37:00Z</dcterms:created>
  <dcterms:modified xsi:type="dcterms:W3CDTF">2019-02-14T14:37:00Z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914f7770-2b63-42ee-9e92-505ae59b7cdf</vt:lpwstr>
  </property>
  <property fmtid="{D5CDD505-2E9C-101B-9397-08002B2CF9AE}" pid="4" name="AuthorIds_UIVersion_7680">
    <vt:lpwstr>1174</vt:lpwstr>
  </property>
</Properties>
</file>